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59717" w14:textId="77777777" w:rsidR="00A74399" w:rsidRPr="00691F73" w:rsidRDefault="00864E2A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  <w:r w:rsidRPr="00691F73">
        <w:rPr>
          <w:rFonts w:ascii="Tahoma" w:hAnsi="Tahoma" w:cs="Tahoma"/>
          <w:bCs/>
          <w:sz w:val="20"/>
          <w:szCs w:val="20"/>
          <w:lang w:eastAsia="ru-RU"/>
        </w:rPr>
        <w:t>Сводная таблица изменений к</w:t>
      </w:r>
      <w:r w:rsidR="00216DB3" w:rsidRPr="00691F73">
        <w:rPr>
          <w:rFonts w:ascii="Tahoma" w:hAnsi="Tahoma" w:cs="Tahoma"/>
          <w:bCs/>
          <w:sz w:val="20"/>
          <w:szCs w:val="20"/>
          <w:lang w:eastAsia="ru-RU"/>
        </w:rPr>
        <w:t xml:space="preserve"> документу</w:t>
      </w:r>
    </w:p>
    <w:p w14:paraId="014234FC" w14:textId="77777777" w:rsidR="00A74399" w:rsidRPr="00691F73" w:rsidRDefault="00A74399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3"/>
      </w:tblGrid>
      <w:tr w:rsidR="00A74399" w:rsidRPr="00691F73" w14:paraId="249F5904" w14:textId="77777777" w:rsidTr="004E2946">
        <w:trPr>
          <w:trHeight w:val="340"/>
        </w:trPr>
        <w:tc>
          <w:tcPr>
            <w:tcW w:w="15069" w:type="dxa"/>
            <w:vAlign w:val="center"/>
          </w:tcPr>
          <w:p w14:paraId="63F7630A" w14:textId="6ECA7DF5" w:rsidR="00A74399" w:rsidRPr="00691F73" w:rsidRDefault="000E7784" w:rsidP="000E7784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eastAsia="ru-RU"/>
              </w:rPr>
              <w:t>Условия осуществления депозитарной деятельности</w:t>
            </w:r>
            <w:r w:rsidR="007A364F" w:rsidRPr="00691F7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</w:t>
            </w:r>
            <w:r w:rsidR="00250644" w:rsidRPr="00691F73">
              <w:rPr>
                <w:rFonts w:ascii="Tahoma" w:hAnsi="Tahoma" w:cs="Tahoma"/>
                <w:sz w:val="20"/>
                <w:szCs w:val="20"/>
                <w:lang w:eastAsia="ru-RU"/>
              </w:rPr>
              <w:t>ОО</w:t>
            </w:r>
            <w:r w:rsidR="007A364F" w:rsidRPr="00691F73">
              <w:rPr>
                <w:rFonts w:ascii="Tahoma" w:hAnsi="Tahoma" w:cs="Tahoma"/>
                <w:sz w:val="20"/>
                <w:szCs w:val="20"/>
                <w:lang w:eastAsia="ru-RU"/>
              </w:rPr>
              <w:t>О «</w:t>
            </w:r>
            <w:r w:rsidR="00250644" w:rsidRPr="00691F73">
              <w:rPr>
                <w:rFonts w:ascii="Tahoma" w:hAnsi="Tahoma" w:cs="Tahoma"/>
                <w:sz w:val="20"/>
                <w:szCs w:val="20"/>
                <w:lang w:eastAsia="ru-RU"/>
              </w:rPr>
              <w:t>НЭКСТ</w:t>
            </w:r>
            <w:r w:rsidR="00B34E0C" w:rsidRPr="00691F7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». Редакция № </w:t>
            </w:r>
            <w:r w:rsidRPr="00691F73">
              <w:rPr>
                <w:rFonts w:ascii="Tahoma" w:hAnsi="Tahoma" w:cs="Tahoma"/>
                <w:sz w:val="20"/>
                <w:szCs w:val="20"/>
                <w:lang w:eastAsia="ru-RU"/>
              </w:rPr>
              <w:t>4</w:t>
            </w:r>
          </w:p>
        </w:tc>
      </w:tr>
    </w:tbl>
    <w:p w14:paraId="1026C05A" w14:textId="6F793D0B" w:rsidR="00864E2A" w:rsidRDefault="00864E2A" w:rsidP="00D7542E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14:paraId="1927D352" w14:textId="77777777" w:rsidR="002D02EE" w:rsidRPr="00691F73" w:rsidRDefault="002D02EE" w:rsidP="00D7542E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tbl>
      <w:tblPr>
        <w:tblStyle w:val="af2"/>
        <w:tblW w:w="15138" w:type="dxa"/>
        <w:tblBorders>
          <w:top w:val="single" w:sz="8" w:space="0" w:color="0099FF"/>
          <w:left w:val="single" w:sz="8" w:space="0" w:color="0099FF"/>
          <w:bottom w:val="single" w:sz="8" w:space="0" w:color="0099FF"/>
          <w:right w:val="single" w:sz="8" w:space="0" w:color="0099FF"/>
          <w:insideH w:val="single" w:sz="8" w:space="0" w:color="0099FF"/>
          <w:insideV w:val="single" w:sz="8" w:space="0" w:color="0099FF"/>
        </w:tblBorders>
        <w:tblLook w:val="04A0" w:firstRow="1" w:lastRow="0" w:firstColumn="1" w:lastColumn="0" w:noHBand="0" w:noVBand="1"/>
      </w:tblPr>
      <w:tblGrid>
        <w:gridCol w:w="626"/>
        <w:gridCol w:w="1014"/>
        <w:gridCol w:w="623"/>
        <w:gridCol w:w="6100"/>
        <w:gridCol w:w="6775"/>
      </w:tblGrid>
      <w:tr w:rsidR="00216DB3" w:rsidRPr="00691F73" w14:paraId="2FA18793" w14:textId="77777777" w:rsidTr="00E33F1B">
        <w:trPr>
          <w:trHeight w:val="465"/>
        </w:trPr>
        <w:tc>
          <w:tcPr>
            <w:tcW w:w="2517" w:type="dxa"/>
            <w:gridSpan w:val="3"/>
            <w:shd w:val="clear" w:color="auto" w:fill="BFBFBF" w:themeFill="background1" w:themeFillShade="BF"/>
          </w:tcPr>
          <w:p w14:paraId="39AE04A1" w14:textId="77777777" w:rsidR="00216DB3" w:rsidRPr="00E33F1B" w:rsidRDefault="00216DB3" w:rsidP="00216DB3">
            <w:pPr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E33F1B">
              <w:rPr>
                <w:rFonts w:ascii="Tahoma" w:hAnsi="Tahoma" w:cs="Tahoma"/>
                <w:b/>
                <w:sz w:val="16"/>
                <w:szCs w:val="16"/>
                <w:shd w:val="clear" w:color="auto" w:fill="BFBFBF" w:themeFill="background1" w:themeFillShade="BF"/>
              </w:rPr>
              <w:t>Основные изменения</w:t>
            </w:r>
            <w:r w:rsidRPr="00E33F1B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12621" w:type="dxa"/>
            <w:gridSpan w:val="2"/>
            <w:vAlign w:val="center"/>
          </w:tcPr>
          <w:p w14:paraId="63F45659" w14:textId="24AB6322" w:rsidR="006D2D80" w:rsidRPr="00691F73" w:rsidRDefault="00103F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="000E7784" w:rsidRPr="00691F73">
              <w:rPr>
                <w:rFonts w:ascii="Tahoma" w:hAnsi="Tahoma" w:cs="Tahoma"/>
                <w:sz w:val="20"/>
                <w:szCs w:val="20"/>
              </w:rPr>
              <w:t>ктуализаци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="000E7784" w:rsidRPr="00691F73">
              <w:rPr>
                <w:rFonts w:ascii="Tahoma" w:hAnsi="Tahoma" w:cs="Tahoma"/>
                <w:sz w:val="20"/>
                <w:szCs w:val="20"/>
              </w:rPr>
              <w:t xml:space="preserve"> Условий осуществления депозитарной деятельности ООО «НЭКСТ». Редакция №4 (далее – Условия).</w:t>
            </w:r>
          </w:p>
        </w:tc>
      </w:tr>
      <w:tr w:rsidR="007508BC" w:rsidRPr="00691F73" w14:paraId="700CBCE4" w14:textId="77777777" w:rsidTr="00E33F1B">
        <w:trPr>
          <w:trHeight w:val="193"/>
        </w:trPr>
        <w:tc>
          <w:tcPr>
            <w:tcW w:w="816" w:type="dxa"/>
            <w:shd w:val="clear" w:color="auto" w:fill="BFBFBF" w:themeFill="background1" w:themeFillShade="BF"/>
            <w:vAlign w:val="center"/>
          </w:tcPr>
          <w:p w14:paraId="62DAD3D0" w14:textId="77777777" w:rsidR="00216DB3" w:rsidRPr="00E33F1B" w:rsidRDefault="00216DB3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3F1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  <w:r w:rsidR="00FC11E1" w:rsidRPr="00E33F1B">
              <w:rPr>
                <w:rFonts w:ascii="Tahoma" w:hAnsi="Tahoma" w:cs="Tahoma"/>
                <w:b/>
                <w:sz w:val="16"/>
                <w:szCs w:val="16"/>
              </w:rPr>
              <w:t>п</w:t>
            </w:r>
            <w:r w:rsidRPr="00E33F1B">
              <w:rPr>
                <w:rFonts w:ascii="Tahoma" w:hAnsi="Tahoma" w:cs="Tahoma"/>
                <w:b/>
                <w:sz w:val="16"/>
                <w:szCs w:val="16"/>
              </w:rPr>
              <w:t>/п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FCC25A" w14:textId="77777777" w:rsidR="00216DB3" w:rsidRPr="00E33F1B" w:rsidRDefault="00216D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3F1B">
              <w:rPr>
                <w:rFonts w:ascii="Tahoma" w:hAnsi="Tahoma" w:cs="Tahoma"/>
                <w:b/>
                <w:sz w:val="16"/>
                <w:szCs w:val="16"/>
              </w:rPr>
              <w:t>Пункт №</w:t>
            </w:r>
          </w:p>
        </w:tc>
        <w:tc>
          <w:tcPr>
            <w:tcW w:w="6633" w:type="dxa"/>
            <w:gridSpan w:val="2"/>
            <w:shd w:val="clear" w:color="auto" w:fill="BFBFBF" w:themeFill="background1" w:themeFillShade="BF"/>
            <w:vAlign w:val="center"/>
          </w:tcPr>
          <w:p w14:paraId="1EB8F733" w14:textId="3C6DB248" w:rsidR="00216DB3" w:rsidRPr="00E33F1B" w:rsidRDefault="00216DB3">
            <w:pPr>
              <w:tabs>
                <w:tab w:val="left" w:pos="4553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3F1B">
              <w:rPr>
                <w:rFonts w:ascii="Tahoma" w:hAnsi="Tahoma" w:cs="Tahoma"/>
                <w:b/>
                <w:sz w:val="16"/>
                <w:szCs w:val="16"/>
              </w:rPr>
              <w:t>Предыдущая редакция №</w:t>
            </w:r>
            <w:r w:rsidR="001815D4" w:rsidRPr="00E33F1B">
              <w:rPr>
                <w:rFonts w:ascii="Tahoma" w:hAnsi="Tahoma" w:cs="Tahoma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6555" w:type="dxa"/>
            <w:shd w:val="clear" w:color="auto" w:fill="BFBFBF" w:themeFill="background1" w:themeFillShade="BF"/>
            <w:vAlign w:val="center"/>
          </w:tcPr>
          <w:p w14:paraId="38F026C9" w14:textId="1A82B38C" w:rsidR="00216DB3" w:rsidRPr="00E33F1B" w:rsidRDefault="00216DB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3F1B">
              <w:rPr>
                <w:rFonts w:ascii="Tahoma" w:hAnsi="Tahoma" w:cs="Tahoma"/>
                <w:b/>
                <w:sz w:val="16"/>
                <w:szCs w:val="16"/>
              </w:rPr>
              <w:t>Новая редакция №</w:t>
            </w:r>
            <w:r w:rsidR="001815D4" w:rsidRPr="00E33F1B"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</w:p>
        </w:tc>
      </w:tr>
      <w:tr w:rsidR="000C3040" w:rsidRPr="00691F73" w14:paraId="68687A0F" w14:textId="77777777" w:rsidTr="00E33F1B">
        <w:tc>
          <w:tcPr>
            <w:tcW w:w="816" w:type="dxa"/>
            <w:vAlign w:val="center"/>
          </w:tcPr>
          <w:p w14:paraId="7E351FE8" w14:textId="46CCF539" w:rsidR="000C3040" w:rsidRPr="00691F73" w:rsidRDefault="00415C1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7160383" w14:textId="70943E59" w:rsidR="000C3040" w:rsidRPr="00983E54" w:rsidRDefault="00983E5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.3.7.</w:t>
            </w:r>
          </w:p>
        </w:tc>
        <w:tc>
          <w:tcPr>
            <w:tcW w:w="6633" w:type="dxa"/>
            <w:gridSpan w:val="2"/>
          </w:tcPr>
          <w:p w14:paraId="1D63A416" w14:textId="62AFDA63" w:rsidR="00983E54" w:rsidRDefault="00983E5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Ref415149770"/>
            <w:r w:rsidRPr="007F1642">
              <w:rPr>
                <w:rFonts w:ascii="Tahoma" w:hAnsi="Tahoma" w:cs="Tahoma"/>
                <w:sz w:val="20"/>
                <w:szCs w:val="20"/>
              </w:rPr>
              <w:t>Дополнительно юридические лица, иностранные структуры без образования юридического лица, индивидуальные предприниматели представляют в Депозитарий следующие документы и (или) информацию (если применимо):</w:t>
            </w:r>
            <w:bookmarkEnd w:id="0"/>
          </w:p>
          <w:p w14:paraId="0F59E63A" w14:textId="20F602B7" w:rsidR="00983E54" w:rsidRPr="007F1642" w:rsidRDefault="00983E5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68DF052C" w14:textId="4A9BD5A1" w:rsidR="00983E54" w:rsidRPr="007F1642" w:rsidRDefault="00983E54" w:rsidP="00BB15ED">
            <w:pPr>
              <w:pStyle w:val="11"/>
              <w:spacing w:line="240" w:lineRule="auto"/>
              <w:ind w:left="231" w:hanging="175"/>
              <w:rPr>
                <w:rFonts w:ascii="Tahoma" w:hAnsi="Tahoma" w:cs="Tahoma"/>
                <w:sz w:val="20"/>
                <w:szCs w:val="20"/>
              </w:rPr>
            </w:pPr>
            <w:bookmarkStart w:id="1" w:name="_Ref508038306"/>
            <w:r>
              <w:rPr>
                <w:rFonts w:ascii="Tahoma" w:hAnsi="Tahoma" w:cs="Tahoma"/>
                <w:sz w:val="20"/>
                <w:szCs w:val="20"/>
              </w:rPr>
              <w:t>4.</w:t>
            </w:r>
            <w:r w:rsidR="00BB15ED" w:rsidRPr="00BB15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сведения (документы) о финансовом положении 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Федерации, включающего в себя бухгалтерский баланс и отчет о финансовом результате;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и (или) сведения об отсутствии в отношении юридического лица/иностранной структуры без образования юридического лица/индивидуального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Депозитарий; и (или) сведения об </w:t>
            </w:r>
            <w:r w:rsidRPr="007F1642">
              <w:rPr>
                <w:rFonts w:ascii="Tahoma" w:hAnsi="Tahoma" w:cs="Tahoma"/>
                <w:sz w:val="20"/>
                <w:szCs w:val="20"/>
              </w:rPr>
              <w:lastRenderedPageBreak/>
              <w:t xml:space="preserve">отсутствии фактов неисполнения юридическим лицом/иностранной структурой без образования юридического лица/индивидуальным предпринимателем своих денежных обязательств по причине отсутствия денежных средств на банковских счетах; и (или) данные о рейтинге юридического лица/иностранной структуры без образования юридического лица/индивидуального предпринимателя, размещенные в сети 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Pr="007F1642">
              <w:rPr>
                <w:rFonts w:ascii="Tahoma" w:hAnsi="Tahoma" w:cs="Tahoma"/>
                <w:sz w:val="20"/>
                <w:szCs w:val="20"/>
              </w:rPr>
              <w:t>Интернет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на сайтах международных рейтинговых агентств (</w:t>
            </w:r>
            <w:r w:rsidRPr="00CE6517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Standard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Poor's</w:t>
            </w:r>
            <w:proofErr w:type="spellEnd"/>
            <w:r w:rsidRPr="00CE6517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Fitch-Ratings</w:t>
            </w:r>
            <w:proofErr w:type="spellEnd"/>
            <w:r w:rsidRPr="00981201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Moody's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Investors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Service</w:t>
            </w:r>
            <w:proofErr w:type="spellEnd"/>
            <w:r w:rsidRPr="00CE6517">
              <w:rPr>
                <w:rFonts w:ascii="Tahoma" w:hAnsi="Tahoma" w:cs="Tahoma"/>
                <w:b/>
                <w:sz w:val="20"/>
                <w:szCs w:val="20"/>
              </w:rPr>
              <w:t>"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и другие) и российских кредитных рейтинговых агентств); </w:t>
            </w:r>
            <w:bookmarkEnd w:id="1"/>
          </w:p>
          <w:tbl>
            <w:tblPr>
              <w:tblStyle w:val="-2"/>
              <w:tblW w:w="6435" w:type="dxa"/>
              <w:tblInd w:w="72" w:type="dxa"/>
              <w:tblBorders>
                <w:top w:val="single" w:sz="8" w:space="0" w:color="0099FF"/>
                <w:bottom w:val="single" w:sz="8" w:space="0" w:color="0099FF"/>
                <w:insideH w:val="single" w:sz="8" w:space="0" w:color="0099FF"/>
                <w:insideV w:val="single" w:sz="8" w:space="0" w:color="0099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435"/>
            </w:tblGrid>
            <w:tr w:rsidR="00983E54" w:rsidRPr="00222A68" w14:paraId="114956BA" w14:textId="77777777" w:rsidTr="00BB15E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212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CDEBFF"/>
                </w:tcPr>
                <w:p w14:paraId="4ED660B8" w14:textId="77777777" w:rsidR="00983E54" w:rsidRPr="00222A68" w:rsidRDefault="00983E54" w:rsidP="00BB15ED">
                  <w:pPr>
                    <w:spacing w:line="240" w:lineRule="auto"/>
                    <w:ind w:left="-33"/>
                    <w:rPr>
                      <w:rFonts w:ascii="Tahoma" w:hAnsi="Tahoma" w:cs="Tahoma"/>
                      <w:b w:val="0"/>
                      <w:bCs w:val="0"/>
                      <w:color w:val="595959" w:themeColor="text1" w:themeTint="A6"/>
                      <w:spacing w:val="80"/>
                      <w:sz w:val="18"/>
                      <w:szCs w:val="18"/>
                    </w:rPr>
                  </w:pPr>
                  <w:r w:rsidRPr="00222A68">
                    <w:rPr>
                      <w:rFonts w:ascii="Tahoma" w:hAnsi="Tahoma" w:cs="Tahoma"/>
                      <w:b w:val="0"/>
                      <w:color w:val="595959" w:themeColor="text1" w:themeTint="A6"/>
                      <w:spacing w:val="80"/>
                      <w:sz w:val="18"/>
                      <w:szCs w:val="18"/>
                    </w:rPr>
                    <w:t>Примечание:</w:t>
                  </w:r>
                </w:p>
              </w:tc>
            </w:tr>
            <w:tr w:rsidR="00983E54" w:rsidRPr="00222A68" w14:paraId="606B62A0" w14:textId="77777777" w:rsidTr="00BB15E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35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4590D5EB" w14:textId="77777777" w:rsidR="00983E54" w:rsidRPr="00222A68" w:rsidRDefault="00983E54" w:rsidP="00BB15ED">
                  <w:pPr>
                    <w:pStyle w:val="11"/>
                    <w:tabs>
                      <w:tab w:val="clear" w:pos="-142"/>
                      <w:tab w:val="left" w:pos="108"/>
                    </w:tabs>
                    <w:spacing w:line="240" w:lineRule="auto"/>
                    <w:ind w:left="34" w:firstLine="0"/>
                    <w:rPr>
                      <w:rFonts w:ascii="Tahoma" w:hAnsi="Tahoma" w:cs="Tahoma"/>
                      <w:b w:val="0"/>
                      <w:bCs w:val="0"/>
                      <w:i/>
                      <w:sz w:val="18"/>
                      <w:szCs w:val="18"/>
                    </w:rPr>
                  </w:pPr>
                  <w:r w:rsidRPr="00222A68">
                    <w:rPr>
                      <w:rFonts w:ascii="Tahoma" w:hAnsi="Tahoma" w:cs="Tahoma"/>
                      <w:b w:val="0"/>
                      <w:bCs w:val="0"/>
                      <w:i/>
                      <w:color w:val="404040" w:themeColor="text1" w:themeTint="BF"/>
                      <w:sz w:val="18"/>
                      <w:szCs w:val="18"/>
                    </w:rPr>
                    <w:t>Юридическое лицо, период деятельности которого не превышает трех месяцев со дня его регистрации, предоставляет в Депозитарий документы, подтверждающие оплату уставного капитала юридического лица.</w:t>
                  </w:r>
                </w:p>
              </w:tc>
            </w:tr>
          </w:tbl>
          <w:p w14:paraId="07F56CFD" w14:textId="2444DFFA" w:rsidR="00983E54" w:rsidRPr="007F1642" w:rsidRDefault="00983E54" w:rsidP="00E33F1B">
            <w:pPr>
              <w:pStyle w:val="11"/>
              <w:numPr>
                <w:ilvl w:val="0"/>
                <w:numId w:val="16"/>
              </w:numPr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сведения о деловой репутации</w:t>
            </w:r>
            <w:r w:rsidRPr="007F1642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6D62D93C" w14:textId="77777777" w:rsidR="00983E54" w:rsidRPr="007F1642" w:rsidRDefault="00983E54" w:rsidP="00BB15ED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656" w:hanging="28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отзывы в произвольной письменной форме о юридическом лице/иностранной структуре без образования юридического лица/индивидуальном предпринимателе других клиентов Депозитария, имеющих с ним деловые отношения (оригинал или копия, заверенная уполномоченным лицом);</w:t>
            </w:r>
          </w:p>
          <w:p w14:paraId="0434BCE6" w14:textId="77777777" w:rsidR="00983E54" w:rsidRPr="007F1642" w:rsidRDefault="00983E54" w:rsidP="00BB15ED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656" w:hanging="28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и (или) отзывы в произвольной письменной форме от кредитных организаций и (или)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некредитных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финансовых организаций, в которых юридическое лицо/ иностранная структура без образования юридического лица/индивидуальный предприниматель находится (находилось) на обслуживании, с информацией этих кредитных организаций и (или)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некредитных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финансовых организаций об оценке деловой репутации данного юридического лица/иностранной структуры без образования юридического лица/индивидуального предпринимателя (оригинал или копия, заверенная уполномоченным лицом);</w:t>
            </w:r>
          </w:p>
          <w:p w14:paraId="763F7ED2" w14:textId="77777777" w:rsidR="00983E54" w:rsidRDefault="00983E54" w:rsidP="00BB15ED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656" w:hanging="28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и (или) отзывы в произвольной письменной форме о юридическом лице/иностранной структуре без образования юридического лица/индивидуальном предпринимателе от партнеров, имеющих с ним деловые отношения, с информацией об оценке деловой репутации (оригинал или </w:t>
            </w:r>
            <w:r w:rsidRPr="007F1642">
              <w:rPr>
                <w:rFonts w:ascii="Tahoma" w:hAnsi="Tahoma" w:cs="Tahoma"/>
                <w:sz w:val="20"/>
                <w:szCs w:val="20"/>
              </w:rPr>
              <w:lastRenderedPageBreak/>
              <w:t>копия, заверенная уполномоченным лицом) (применимо в случае, если у Депозитария отсутствует информация о событиях, негативно влияющих на деловую репутацию клиента);</w:t>
            </w:r>
          </w:p>
          <w:p w14:paraId="5F5019DC" w14:textId="13B8D425" w:rsidR="000F1E20" w:rsidRDefault="000F1E20" w:rsidP="00BB15ED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656" w:hanging="283"/>
              <w:rPr>
                <w:rFonts w:ascii="Tahoma" w:hAnsi="Tahoma" w:cs="Tahoma"/>
                <w:sz w:val="20"/>
                <w:szCs w:val="20"/>
              </w:rPr>
            </w:pPr>
            <w:r w:rsidRPr="00222A68">
              <w:rPr>
                <w:rFonts w:ascii="Tahoma" w:hAnsi="Tahoma" w:cs="Tahoma"/>
                <w:sz w:val="20"/>
                <w:szCs w:val="20"/>
              </w:rPr>
              <w:t>и (или) отзывы в произвольной письменной форме о юридическом лице/иностранной структуре без образования юридического лица/индивидуальном предпринимателе от контрагентов Депозитария, имеющих с ним деловые отношения, с информацией об оценке деловой репутации (оригинал или копия, заверенная уполномоченным лицом) (применимо в случае, если у Депозитария отсутствует информация о событиях, негативно влияющих на деловую репутацию клиента)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4AF4A90" w14:textId="6D0F99D2" w:rsidR="00733A4D" w:rsidRPr="00733A4D" w:rsidRDefault="00733A4D" w:rsidP="00BB15ED">
            <w:pPr>
              <w:pStyle w:val="a"/>
              <w:numPr>
                <w:ilvl w:val="0"/>
                <w:numId w:val="0"/>
              </w:numPr>
              <w:spacing w:line="240" w:lineRule="auto"/>
              <w:ind w:left="656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029198BA" w14:textId="754168D8" w:rsidR="00415C14" w:rsidRPr="00691F73" w:rsidRDefault="00415C14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</w:tcPr>
          <w:p w14:paraId="56440779" w14:textId="1007001A" w:rsidR="00983E54" w:rsidRDefault="00983E5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lastRenderedPageBreak/>
              <w:t>Дополнительно юридические лица, иностранные структуры без образования юридического лица, индивидуальные предприниматели</w:t>
            </w:r>
            <w:r w:rsidRPr="00983E54">
              <w:rPr>
                <w:rFonts w:ascii="Tahoma" w:hAnsi="Tahoma" w:cs="Tahoma"/>
                <w:b/>
                <w:sz w:val="20"/>
                <w:szCs w:val="20"/>
              </w:rPr>
              <w:t>, физические лица, занимающиеся в установленном законодательством порядке частной практикой,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представляют в Депозитарий следующие документы и (или) информацию (если применимо):</w:t>
            </w:r>
          </w:p>
          <w:p w14:paraId="0B039770" w14:textId="77777777" w:rsidR="00983E54" w:rsidRDefault="00983E5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475573E8" w14:textId="3342EF6A" w:rsidR="00983E54" w:rsidRPr="007F1642" w:rsidRDefault="00983E54" w:rsidP="00E33F1B">
            <w:pPr>
              <w:pStyle w:val="11"/>
              <w:numPr>
                <w:ilvl w:val="0"/>
                <w:numId w:val="13"/>
              </w:numPr>
              <w:spacing w:line="240" w:lineRule="auto"/>
              <w:ind w:left="263" w:hanging="26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сведения (документы) о финансовом положении 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Федерации, включающего в себя бухгалтерский баланс и отчет о финансовом результате; и (или) </w:t>
            </w:r>
            <w:r w:rsidRPr="00983E54">
              <w:rPr>
                <w:rFonts w:ascii="Tahoma" w:hAnsi="Tahoma" w:cs="Tahoma"/>
                <w:b/>
                <w:sz w:val="20"/>
                <w:szCs w:val="20"/>
              </w:rPr>
              <w:t>копия аудиторского заключения</w:t>
            </w:r>
            <w:r w:rsidR="00670CF1">
              <w:rPr>
                <w:rFonts w:ascii="Tahoma" w:hAnsi="Tahoma" w:cs="Tahoma"/>
                <w:b/>
                <w:sz w:val="20"/>
                <w:szCs w:val="20"/>
              </w:rPr>
              <w:t xml:space="preserve"> независимых аудиторов об обобщен</w:t>
            </w:r>
            <w:r w:rsidRPr="00983E54">
              <w:rPr>
                <w:rFonts w:ascii="Tahoma" w:hAnsi="Tahoma" w:cs="Tahoma"/>
                <w:b/>
                <w:sz w:val="20"/>
                <w:szCs w:val="20"/>
              </w:rPr>
              <w:t>ной консолидированной финансово</w:t>
            </w:r>
            <w:r w:rsidR="00670CF1">
              <w:rPr>
                <w:rFonts w:ascii="Tahoma" w:hAnsi="Tahoma" w:cs="Tahoma"/>
                <w:b/>
                <w:sz w:val="20"/>
                <w:szCs w:val="20"/>
              </w:rPr>
              <w:t>й отче</w:t>
            </w:r>
            <w:r w:rsidR="00BB15ED">
              <w:rPr>
                <w:rFonts w:ascii="Tahoma" w:hAnsi="Tahoma" w:cs="Tahoma"/>
                <w:b/>
                <w:sz w:val="20"/>
                <w:szCs w:val="20"/>
              </w:rPr>
              <w:t xml:space="preserve">тности за прошедший </w:t>
            </w:r>
            <w:r w:rsidRPr="00983E54">
              <w:rPr>
                <w:rFonts w:ascii="Tahoma" w:hAnsi="Tahoma" w:cs="Tahoma"/>
                <w:b/>
                <w:sz w:val="20"/>
                <w:szCs w:val="20"/>
              </w:rPr>
              <w:t>год, подготовленного для раскрытия на общедоступных информационных ресурсах; и (или)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1642">
              <w:rPr>
                <w:rFonts w:ascii="Tahoma" w:hAnsi="Tahoma" w:cs="Tahoma"/>
                <w:sz w:val="20"/>
                <w:szCs w:val="20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и (или) сведения об отсу</w:t>
            </w:r>
            <w:bookmarkStart w:id="2" w:name="_GoBack"/>
            <w:bookmarkEnd w:id="2"/>
            <w:r w:rsidRPr="007F1642">
              <w:rPr>
                <w:rFonts w:ascii="Tahoma" w:hAnsi="Tahoma" w:cs="Tahoma"/>
                <w:sz w:val="20"/>
                <w:szCs w:val="20"/>
              </w:rPr>
              <w:t xml:space="preserve">тствии в отношении </w:t>
            </w:r>
            <w:r w:rsidRPr="007F1642">
              <w:rPr>
                <w:rFonts w:ascii="Tahoma" w:hAnsi="Tahoma" w:cs="Tahoma"/>
                <w:sz w:val="20"/>
                <w:szCs w:val="20"/>
              </w:rPr>
              <w:lastRenderedPageBreak/>
              <w:t xml:space="preserve">юридического лица/иностранной структуры без образования юридического лица/индивидуального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Депозитарий; и (или) сведения об отсутствии фактов неисполнения юридическим лицом/иностранной структурой без образования юридического лица/индивидуальным предпринимателем своих денежных обязательств по причине отсутствия денежных средств на банковских счетах; и (или) данные о рейтинге юридического лица/иностранной структуры без образования юридического лица/индивидуального предпринимателя, размещенные в сети </w:t>
            </w:r>
            <w:r w:rsidRPr="00670CF1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Pr="007F1642">
              <w:rPr>
                <w:rFonts w:ascii="Tahoma" w:hAnsi="Tahoma" w:cs="Tahoma"/>
                <w:sz w:val="20"/>
                <w:szCs w:val="20"/>
              </w:rPr>
              <w:t>Интернет</w:t>
            </w:r>
            <w:r w:rsidRPr="00670CF1"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на сайтах международных рейтинговых агентств (</w:t>
            </w:r>
            <w:r w:rsidRPr="00CE6517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Standard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Poor's</w:t>
            </w:r>
            <w:proofErr w:type="spellEnd"/>
            <w:r w:rsidRPr="00CE6517"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E6517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Fitch-Ratings</w:t>
            </w:r>
            <w:proofErr w:type="spellEnd"/>
            <w:r w:rsidRPr="00CE6517"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E6517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Moody's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Investors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Service</w:t>
            </w:r>
            <w:proofErr w:type="spellEnd"/>
            <w:r w:rsidRPr="00CE6517"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и другие) и российских кредитных рейтинговых агентств); </w:t>
            </w:r>
          </w:p>
          <w:tbl>
            <w:tblPr>
              <w:tblStyle w:val="-2"/>
              <w:tblW w:w="6262" w:type="dxa"/>
              <w:tblInd w:w="297" w:type="dxa"/>
              <w:tblBorders>
                <w:top w:val="single" w:sz="8" w:space="0" w:color="0099FF"/>
                <w:bottom w:val="single" w:sz="8" w:space="0" w:color="0099FF"/>
                <w:insideH w:val="single" w:sz="8" w:space="0" w:color="0099FF"/>
                <w:insideV w:val="single" w:sz="8" w:space="0" w:color="0099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262"/>
            </w:tblGrid>
            <w:tr w:rsidR="00983E54" w:rsidRPr="00222A68" w14:paraId="6FFEB980" w14:textId="77777777" w:rsidTr="00BB15E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212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CDEBFF"/>
                </w:tcPr>
                <w:p w14:paraId="124EB191" w14:textId="77777777" w:rsidR="00983E54" w:rsidRPr="00222A68" w:rsidRDefault="00983E54" w:rsidP="00E33F1B">
                  <w:pPr>
                    <w:spacing w:line="240" w:lineRule="auto"/>
                    <w:rPr>
                      <w:rFonts w:ascii="Tahoma" w:hAnsi="Tahoma" w:cs="Tahoma"/>
                      <w:b w:val="0"/>
                      <w:bCs w:val="0"/>
                      <w:color w:val="595959" w:themeColor="text1" w:themeTint="A6"/>
                      <w:spacing w:val="80"/>
                      <w:sz w:val="18"/>
                      <w:szCs w:val="18"/>
                    </w:rPr>
                  </w:pPr>
                  <w:r w:rsidRPr="00222A68">
                    <w:rPr>
                      <w:rFonts w:ascii="Tahoma" w:hAnsi="Tahoma" w:cs="Tahoma"/>
                      <w:b w:val="0"/>
                      <w:color w:val="595959" w:themeColor="text1" w:themeTint="A6"/>
                      <w:spacing w:val="80"/>
                      <w:sz w:val="18"/>
                      <w:szCs w:val="18"/>
                    </w:rPr>
                    <w:t>Примечание:</w:t>
                  </w:r>
                </w:p>
              </w:tc>
            </w:tr>
            <w:tr w:rsidR="00983E54" w:rsidRPr="00222A68" w14:paraId="742D650D" w14:textId="77777777" w:rsidTr="00BB15E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62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14:paraId="1A1F6730" w14:textId="77777777" w:rsidR="00983E54" w:rsidRDefault="00983E54">
                  <w:pPr>
                    <w:pStyle w:val="11"/>
                    <w:spacing w:line="240" w:lineRule="auto"/>
                    <w:ind w:left="34" w:firstLine="0"/>
                    <w:rPr>
                      <w:rFonts w:ascii="Tahoma" w:hAnsi="Tahoma" w:cs="Tahoma"/>
                      <w:b w:val="0"/>
                      <w:bCs w:val="0"/>
                      <w:i/>
                      <w:color w:val="404040" w:themeColor="text1" w:themeTint="BF"/>
                      <w:sz w:val="18"/>
                      <w:szCs w:val="18"/>
                    </w:rPr>
                  </w:pPr>
                  <w:r w:rsidRPr="00222A68">
                    <w:rPr>
                      <w:rFonts w:ascii="Tahoma" w:hAnsi="Tahoma" w:cs="Tahoma"/>
                      <w:b w:val="0"/>
                      <w:bCs w:val="0"/>
                      <w:i/>
                      <w:color w:val="404040" w:themeColor="text1" w:themeTint="BF"/>
                      <w:sz w:val="18"/>
                      <w:szCs w:val="18"/>
                    </w:rPr>
                    <w:t>Юридическое лицо, период деятельности которого не превышает трех месяцев со дня его регистрации, предоставляет в Депозитарий документы, подтверждающие оплату уставного капитала юридического лица.</w:t>
                  </w:r>
                </w:p>
                <w:p w14:paraId="41C66C16" w14:textId="77777777" w:rsidR="00983E54" w:rsidRPr="00983E54" w:rsidRDefault="00983E54">
                  <w:pPr>
                    <w:pStyle w:val="11"/>
                    <w:spacing w:line="240" w:lineRule="auto"/>
                    <w:ind w:left="34" w:firstLine="0"/>
                    <w:rPr>
                      <w:rFonts w:ascii="Tahoma" w:hAnsi="Tahoma" w:cs="Tahoma"/>
                      <w:bCs w:val="0"/>
                      <w:i/>
                      <w:sz w:val="18"/>
                      <w:szCs w:val="18"/>
                    </w:rPr>
                  </w:pPr>
                  <w:r w:rsidRPr="00983E54">
                    <w:rPr>
                      <w:rFonts w:ascii="Tahoma" w:hAnsi="Tahoma" w:cs="Tahoma"/>
                      <w:bCs w:val="0"/>
                      <w:i/>
                      <w:color w:val="404040" w:themeColor="text1" w:themeTint="BF"/>
                      <w:sz w:val="18"/>
                      <w:szCs w:val="18"/>
                    </w:rPr>
                    <w:t>Сведения (документы) о финансовом положении в соответствии с настоящим пунктом, предоставляются в отношении юридических лиц, иностранных структур без образования юридического лица, индивидуальных предпринимателей, физических лиц, занимающихся в установленном законодательством порядке частной практикой.</w:t>
                  </w:r>
                </w:p>
              </w:tc>
            </w:tr>
          </w:tbl>
          <w:p w14:paraId="59D5910E" w14:textId="20F77F3F" w:rsidR="00983E54" w:rsidRPr="007F1642" w:rsidRDefault="00983E54" w:rsidP="00E33F1B">
            <w:pPr>
              <w:pStyle w:val="11"/>
              <w:numPr>
                <w:ilvl w:val="0"/>
                <w:numId w:val="13"/>
              </w:numPr>
              <w:spacing w:before="120" w:line="240" w:lineRule="auto"/>
              <w:ind w:left="405" w:hanging="284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сведения о деловой репутации</w:t>
            </w:r>
            <w:r w:rsidRPr="007F1642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14:paraId="712A99EE" w14:textId="77777777" w:rsidR="00983E54" w:rsidRPr="007F1642" w:rsidRDefault="00983E54" w:rsidP="00E33F1B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405" w:hanging="284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отзывы в произвольной письменной форме о юридическом лице/иностранной структуре без образования юридического лица/индивидуальном предпринимателе</w:t>
            </w:r>
            <w:r w:rsidRPr="000F1E20">
              <w:rPr>
                <w:rFonts w:ascii="Tahoma" w:hAnsi="Tahoma" w:cs="Tahoma"/>
                <w:b/>
                <w:sz w:val="20"/>
                <w:szCs w:val="20"/>
              </w:rPr>
              <w:t>/физическом лице, занимающемся в установленном законодательством порядке частной практикой,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других клиентов Депозитария, имеющих с ним деловые отношения (оригинал или копия, заверенная уполномоченным лицом);</w:t>
            </w:r>
          </w:p>
          <w:p w14:paraId="0A60231F" w14:textId="77777777" w:rsidR="00983E54" w:rsidRPr="007F1642" w:rsidRDefault="00983E54" w:rsidP="00E33F1B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405" w:hanging="284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и (или) отзывы в произвольной письменной форме от кредитных </w:t>
            </w:r>
            <w:r w:rsidRPr="007F1642">
              <w:rPr>
                <w:rFonts w:ascii="Tahoma" w:hAnsi="Tahoma" w:cs="Tahoma"/>
                <w:sz w:val="20"/>
                <w:szCs w:val="20"/>
              </w:rPr>
              <w:lastRenderedPageBreak/>
              <w:t xml:space="preserve">организаций и (или)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некредитных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финансовых организаций, в которых юридическое лицо/ иностранная структура без образования юридического лица/индивидуальный предприниматель</w:t>
            </w:r>
            <w:r w:rsidRPr="000F1E20">
              <w:rPr>
                <w:rFonts w:ascii="Tahoma" w:hAnsi="Tahoma" w:cs="Tahoma"/>
                <w:b/>
                <w:sz w:val="20"/>
                <w:szCs w:val="20"/>
              </w:rPr>
              <w:t>/физическое лицо, занимающееся в установленном законодательством порядке частной практикой,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находится (находилось) на обслуживании, с информацией этих кредитных организаций и (или) </w:t>
            </w:r>
            <w:proofErr w:type="spellStart"/>
            <w:r w:rsidRPr="007F1642">
              <w:rPr>
                <w:rFonts w:ascii="Tahoma" w:hAnsi="Tahoma" w:cs="Tahoma"/>
                <w:sz w:val="20"/>
                <w:szCs w:val="20"/>
              </w:rPr>
              <w:t>некредитных</w:t>
            </w:r>
            <w:proofErr w:type="spellEnd"/>
            <w:r w:rsidRPr="007F1642">
              <w:rPr>
                <w:rFonts w:ascii="Tahoma" w:hAnsi="Tahoma" w:cs="Tahoma"/>
                <w:sz w:val="20"/>
                <w:szCs w:val="20"/>
              </w:rPr>
              <w:t xml:space="preserve"> финансовых организаций об оценке деловой репутации данного юридического лица/иностранной структуры без образования юридического лица/индивидуального предпринимателя (оригинал или копия, заверенная уполномоченным лицом);</w:t>
            </w:r>
          </w:p>
          <w:p w14:paraId="252FFFDB" w14:textId="77777777" w:rsidR="00983E54" w:rsidRDefault="00983E54" w:rsidP="00E33F1B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405" w:hanging="284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и (или) отзывы в произвольной письменной форме о юридическом лице/иностранной структуре без образования юридического лица/индивидуальном предпринимателе</w:t>
            </w:r>
            <w:r w:rsidRPr="000F1E20">
              <w:rPr>
                <w:rFonts w:ascii="Tahoma" w:hAnsi="Tahoma" w:cs="Tahoma"/>
                <w:b/>
                <w:sz w:val="20"/>
                <w:szCs w:val="20"/>
              </w:rPr>
              <w:t>/физическом лице, занимающемся в установленном законодательством порядке частной практикой,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от партнеров, имеющих с ним деловые отношения, с информацией об оценке деловой репутации (оригинал или копия, заверенная уполномоченным лицом) (применимо в случае, если у Депозитария отсутствует информация о событиях, негативно влияющих на деловую репутацию клиента);</w:t>
            </w:r>
          </w:p>
          <w:p w14:paraId="374116DD" w14:textId="77777777" w:rsidR="00733A4D" w:rsidRPr="007F1642" w:rsidRDefault="00733A4D" w:rsidP="00E33F1B">
            <w:pPr>
              <w:pStyle w:val="a"/>
              <w:numPr>
                <w:ilvl w:val="0"/>
                <w:numId w:val="15"/>
              </w:numPr>
              <w:tabs>
                <w:tab w:val="clear" w:pos="2007"/>
              </w:tabs>
              <w:spacing w:line="240" w:lineRule="auto"/>
              <w:ind w:left="405" w:hanging="284"/>
              <w:rPr>
                <w:rFonts w:ascii="Tahoma" w:hAnsi="Tahoma" w:cs="Tahoma"/>
                <w:sz w:val="20"/>
                <w:szCs w:val="20"/>
              </w:rPr>
            </w:pPr>
            <w:r w:rsidRPr="00222A68">
              <w:rPr>
                <w:rFonts w:ascii="Tahoma" w:hAnsi="Tahoma" w:cs="Tahoma"/>
                <w:sz w:val="20"/>
                <w:szCs w:val="20"/>
              </w:rPr>
              <w:t>и (или) отзывы в произвольной письменной форме о юридическом лице/иностранной структуре без образования юридического лица/индивидуальном предпринимателе</w:t>
            </w:r>
            <w:r w:rsidRPr="00733A4D">
              <w:rPr>
                <w:rFonts w:ascii="Tahoma" w:hAnsi="Tahoma" w:cs="Tahoma"/>
                <w:b/>
                <w:sz w:val="20"/>
                <w:szCs w:val="20"/>
              </w:rPr>
              <w:t>/физическом лице, занимающемся в установленном законодательством порядке частной практикой,</w:t>
            </w:r>
            <w:r w:rsidRPr="00222A68">
              <w:rPr>
                <w:rFonts w:ascii="Tahoma" w:hAnsi="Tahoma" w:cs="Tahoma"/>
                <w:sz w:val="20"/>
                <w:szCs w:val="20"/>
              </w:rPr>
              <w:t xml:space="preserve"> от контрагентов Депозитария, имеющих с ним деловые отношения, с информацией об оценке деловой репутации (оригинал или копия, заверенная уполномоченным лицом) (применимо в случае, если у Депозитария отсутствует информация о событиях, негативно влияющих на деловую репутацию клиента)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69CCCC5" w14:textId="7D66F866" w:rsidR="00983E54" w:rsidRPr="00983E54" w:rsidRDefault="00733A4D" w:rsidP="00E33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…</w:t>
            </w:r>
          </w:p>
        </w:tc>
      </w:tr>
      <w:tr w:rsidR="001815D4" w:rsidRPr="00691F73" w14:paraId="78814A0E" w14:textId="77777777" w:rsidTr="00E33F1B">
        <w:tc>
          <w:tcPr>
            <w:tcW w:w="816" w:type="dxa"/>
            <w:vAlign w:val="center"/>
          </w:tcPr>
          <w:p w14:paraId="4E08C052" w14:textId="7652A1F2" w:rsidR="001815D4" w:rsidRPr="008623A1" w:rsidRDefault="008623A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40C6F6F6" w14:textId="77756239" w:rsidR="001815D4" w:rsidRPr="001815D4" w:rsidRDefault="001815D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1.9.1.</w:t>
            </w:r>
          </w:p>
        </w:tc>
        <w:tc>
          <w:tcPr>
            <w:tcW w:w="6633" w:type="dxa"/>
            <w:gridSpan w:val="2"/>
          </w:tcPr>
          <w:p w14:paraId="2327256A" w14:textId="5D1BA455" w:rsidR="001815D4" w:rsidRPr="007F1642" w:rsidRDefault="001815D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2BFD07CC" w14:textId="038D647E" w:rsidR="001815D4" w:rsidRPr="00691F73" w:rsidRDefault="001815D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Депонент вправе не предоставлять Анкету выгодоприобретателя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в случае, если </w:t>
            </w:r>
            <w:r w:rsidRPr="001815D4">
              <w:rPr>
                <w:rFonts w:ascii="Tahoma" w:hAnsi="Tahoma" w:cs="Tahoma"/>
                <w:b/>
                <w:sz w:val="20"/>
                <w:szCs w:val="20"/>
              </w:rPr>
              <w:t>он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является организацией, осуществляющей операции с денежными средствами или иным имуществом, указанной в статье 5 Федерального закона от 07.08.2001 №115-ФЗ, или лицом, указанным в статье 7.1 Федерального закона от 07.08.2001 №115-ФЗ. В случае необходимости Депозитарий вправе запросить Анкету выгодоприобретателя и комплект документов в отношении выгодоприобретателя, аналогичный комплекту документов, указанному в п.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F1642">
              <w:rPr>
                <w:rFonts w:ascii="Tahoma" w:hAnsi="Tahoma" w:cs="Tahoma"/>
                <w:sz w:val="20"/>
                <w:szCs w:val="20"/>
              </w:rPr>
              <w:instrText xml:space="preserve"> REF _Ref123564752 \n \h  \* MERGEFORMAT </w:instrText>
            </w:r>
            <w:r w:rsidRPr="007F1642">
              <w:rPr>
                <w:rFonts w:ascii="Tahoma" w:hAnsi="Tahoma" w:cs="Tahoma"/>
                <w:sz w:val="20"/>
                <w:szCs w:val="20"/>
              </w:rPr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54AA4">
              <w:rPr>
                <w:rFonts w:ascii="Tahoma" w:hAnsi="Tahoma" w:cs="Tahoma"/>
                <w:b/>
                <w:bCs/>
                <w:sz w:val="20"/>
                <w:szCs w:val="20"/>
              </w:rPr>
              <w:t>Ошибка! Источник ссылки не найден.</w:t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., у любого Депонента, действующего в интересах выгодоприобретателя. При этом Депонент обязан по запросу Депозитария предоставить подлинники и/или надлежащим образом заверенные копии указанных документов в отношении выгодоприобретателя в порядке и сроки, указанные в запросе. </w:t>
            </w:r>
          </w:p>
        </w:tc>
        <w:tc>
          <w:tcPr>
            <w:tcW w:w="6555" w:type="dxa"/>
          </w:tcPr>
          <w:p w14:paraId="5AD72E75" w14:textId="19AFAB61" w:rsidR="001815D4" w:rsidRPr="007F1642" w:rsidRDefault="001815D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2520DB14" w14:textId="04F4C544" w:rsidR="001815D4" w:rsidRPr="008623A1" w:rsidRDefault="001815D4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Депонент вправе не предоставлять Анкету выгодоприобретателя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в случае, если </w:t>
            </w:r>
            <w:r w:rsidRPr="001815D4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является организацией, осуществляющей операции с денежными средствами или иным имуществом, указанной в статье 5 Федерального закона от 07.08.2001 №115-ФЗ, или лицом, указанным в статье 7.1 Федерального закона от 07.08.2001 №115-ФЗ</w:t>
            </w:r>
            <w:r w:rsidRPr="001815D4">
              <w:rPr>
                <w:rFonts w:ascii="Tahoma" w:hAnsi="Tahoma" w:cs="Tahoma"/>
                <w:b/>
                <w:sz w:val="20"/>
                <w:szCs w:val="20"/>
              </w:rPr>
              <w:t>, и выгодоприобретатель является клиентом такого Депонента</w:t>
            </w:r>
            <w:r w:rsidRPr="007F1642">
              <w:rPr>
                <w:rFonts w:ascii="Tahoma" w:hAnsi="Tahoma" w:cs="Tahoma"/>
                <w:sz w:val="20"/>
                <w:szCs w:val="20"/>
              </w:rPr>
              <w:t>. В случае необходимости Депозитарий вправе запросить Анкету выгодоприобретателя и комплект документов в отношении выгодоприобретателя, аналогичный комплекту документов, указанному в п.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7F1642">
              <w:rPr>
                <w:rFonts w:ascii="Tahoma" w:hAnsi="Tahoma" w:cs="Tahoma"/>
                <w:sz w:val="20"/>
                <w:szCs w:val="20"/>
              </w:rPr>
              <w:instrText xml:space="preserve"> REF _Ref123564752 \n \h  \* MERGEFORMAT </w:instrText>
            </w:r>
            <w:r w:rsidRPr="007F1642">
              <w:rPr>
                <w:rFonts w:ascii="Tahoma" w:hAnsi="Tahoma" w:cs="Tahoma"/>
                <w:sz w:val="20"/>
                <w:szCs w:val="20"/>
              </w:rPr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54AA4">
              <w:rPr>
                <w:rFonts w:ascii="Tahoma" w:hAnsi="Tahoma" w:cs="Tahoma"/>
                <w:b/>
                <w:bCs/>
                <w:sz w:val="20"/>
                <w:szCs w:val="20"/>
              </w:rPr>
              <w:t>Ошибка! Источник ссылки не найден.</w:t>
            </w:r>
            <w:r w:rsidRPr="007F1642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., у любого Депонента, действующего в интересах выгодоприобретателя. При этом Депонент обязан по запросу Депозитария предоставить подлинники и/или надлежащим образом заверенные копии указанных документов в отношении выгодоприобретателя в порядке и сроки, указанные в запросе. </w:t>
            </w:r>
          </w:p>
        </w:tc>
      </w:tr>
      <w:tr w:rsidR="00415C14" w:rsidRPr="00691F73" w14:paraId="059BCE44" w14:textId="77777777" w:rsidTr="00E33F1B">
        <w:tc>
          <w:tcPr>
            <w:tcW w:w="816" w:type="dxa"/>
            <w:vAlign w:val="center"/>
          </w:tcPr>
          <w:p w14:paraId="33B768CC" w14:textId="46F3078A" w:rsidR="00415C14" w:rsidRPr="00691F73" w:rsidRDefault="008623A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E3C183A" w14:textId="30F14B65" w:rsidR="00415C14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5.1.6.</w:t>
            </w:r>
          </w:p>
        </w:tc>
        <w:tc>
          <w:tcPr>
            <w:tcW w:w="6633" w:type="dxa"/>
            <w:gridSpan w:val="2"/>
          </w:tcPr>
          <w:p w14:paraId="0AE5CB63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Глобальные операции – депозитарные операции, вызванные корпоративными действиями эмитентов ценных бумаг, связанными с реализацией прав, закрепленных ценными бумагами, или иными действиями, затрагивающими интересы собственников ценных бумаг. К глобальным операциям относятся:</w:t>
            </w:r>
          </w:p>
          <w:p w14:paraId="2CB84957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конвертация ценных бумаг;</w:t>
            </w:r>
          </w:p>
          <w:p w14:paraId="34E2672C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погашение (аннулирование) ценных бумаг;</w:t>
            </w:r>
          </w:p>
          <w:p w14:paraId="6C9CD148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дробление или консолидация ценных бумаг;</w:t>
            </w:r>
          </w:p>
          <w:p w14:paraId="5715B03D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объединение дополнительных выпусков эмиссионных ценных бумаг;</w:t>
            </w:r>
          </w:p>
          <w:p w14:paraId="76170260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аннулирование индивидуальных номеров (кодов) дополнительных выпусков эмиссионных ценных бумаг;</w:t>
            </w:r>
          </w:p>
          <w:p w14:paraId="4A66820D" w14:textId="77777777" w:rsidR="0070702D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815D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выплата</w:t>
            </w: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доходов ценными бумагами;</w:t>
            </w:r>
          </w:p>
          <w:p w14:paraId="027A32CE" w14:textId="33BBE5AA" w:rsidR="00415C14" w:rsidRPr="00691F73" w:rsidRDefault="0070702D" w:rsidP="00E33F1B">
            <w:pPr>
              <w:pStyle w:val="ab"/>
              <w:numPr>
                <w:ilvl w:val="0"/>
                <w:numId w:val="2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иные корпоративные действия.</w:t>
            </w:r>
          </w:p>
        </w:tc>
        <w:tc>
          <w:tcPr>
            <w:tcW w:w="6555" w:type="dxa"/>
          </w:tcPr>
          <w:p w14:paraId="7A079BCA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Глобальные операции – депозитарные операции, вызванные корпоративными действиями эмитентов ценных бумаг, связанными с реализацией прав, закрепленных ценными бумагами, или иными действиями, затрагивающими интересы собственников ценных бумаг. К глобальным операциям относятся:</w:t>
            </w:r>
          </w:p>
          <w:p w14:paraId="10F07D96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конвертация ценных бумаг;</w:t>
            </w:r>
          </w:p>
          <w:p w14:paraId="750E97DD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погашение (аннулирование) ценных бумаг;</w:t>
            </w:r>
          </w:p>
          <w:p w14:paraId="4BE4F837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sz w:val="20"/>
                <w:szCs w:val="20"/>
              </w:rPr>
              <w:t>зачисление дополнительного выпуска ценных бумаг;</w:t>
            </w:r>
          </w:p>
          <w:p w14:paraId="2A13246F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объединение дополнительных выпусков эмиссионных ценных бумаг;</w:t>
            </w:r>
          </w:p>
          <w:p w14:paraId="3B69709E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аннулирование индивидуальных номеров (кодов) дополнительных выпусков эмиссионных ценных бумаг;</w:t>
            </w:r>
          </w:p>
          <w:p w14:paraId="3CC3AF26" w14:textId="77777777" w:rsidR="0070702D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sz w:val="20"/>
                <w:szCs w:val="20"/>
              </w:rPr>
              <w:t>начисление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 доходов ценными бумагами;</w:t>
            </w:r>
          </w:p>
          <w:p w14:paraId="730E45E1" w14:textId="455A8596" w:rsidR="00415C14" w:rsidRPr="00691F73" w:rsidRDefault="0070702D" w:rsidP="00E33F1B">
            <w:pPr>
              <w:pStyle w:val="ab"/>
              <w:numPr>
                <w:ilvl w:val="0"/>
                <w:numId w:val="3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иные корпоративные действия.</w:t>
            </w:r>
          </w:p>
        </w:tc>
      </w:tr>
      <w:tr w:rsidR="00FC5EC9" w:rsidRPr="00691F73" w14:paraId="4CB70D31" w14:textId="77777777" w:rsidTr="00E33F1B">
        <w:tc>
          <w:tcPr>
            <w:tcW w:w="816" w:type="dxa"/>
            <w:vAlign w:val="center"/>
          </w:tcPr>
          <w:p w14:paraId="724D0E84" w14:textId="384F3F21" w:rsidR="00FC5EC9" w:rsidRDefault="00FC5EC9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132C0F0" w14:textId="6A4B14DB" w:rsidR="00FC5EC9" w:rsidRPr="00691F73" w:rsidRDefault="00FC5EC9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6.26.10.</w:t>
            </w:r>
          </w:p>
        </w:tc>
        <w:tc>
          <w:tcPr>
            <w:tcW w:w="6633" w:type="dxa"/>
            <w:gridSpan w:val="2"/>
          </w:tcPr>
          <w:p w14:paraId="1C0CA582" w14:textId="77777777" w:rsidR="00FC5EC9" w:rsidRPr="007F1642" w:rsidRDefault="00FC5EC9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Цифровые права не принимаются на обслуживание в следующих случаях:</w:t>
            </w:r>
          </w:p>
          <w:p w14:paraId="2C362B18" w14:textId="77777777" w:rsidR="00FC5EC9" w:rsidRPr="007F1642" w:rsidRDefault="00FC5EC9" w:rsidP="00E33F1B">
            <w:pPr>
              <w:pStyle w:val="11"/>
              <w:numPr>
                <w:ilvl w:val="2"/>
                <w:numId w:val="11"/>
              </w:numPr>
              <w:spacing w:line="240" w:lineRule="auto"/>
              <w:ind w:left="340" w:hanging="340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оператором инвестиционной платформы Депозитарию не предоставлена возможность принять для учета утилитарные </w:t>
            </w:r>
            <w:r w:rsidRPr="007F164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цифровые права при их обращении в соответствии с частью 9 статьи 8 Федерального закона от 02.08.2019 №259-ФЗ «О </w:t>
            </w:r>
            <w:r w:rsidRPr="007F1642">
              <w:rPr>
                <w:rFonts w:ascii="Tahoma" w:hAnsi="Tahoma" w:cs="Tahoma"/>
                <w:sz w:val="20"/>
                <w:szCs w:val="20"/>
              </w:rPr>
              <w:t>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      </w:r>
          </w:p>
          <w:p w14:paraId="632068B7" w14:textId="40B6E0AF" w:rsidR="00FC5EC9" w:rsidRPr="00691F73" w:rsidRDefault="00FC5EC9" w:rsidP="00E33F1B">
            <w:pPr>
              <w:pStyle w:val="11"/>
              <w:numPr>
                <w:ilvl w:val="2"/>
                <w:numId w:val="11"/>
              </w:numPr>
              <w:spacing w:line="240" w:lineRule="auto"/>
              <w:ind w:left="340" w:hanging="28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Депозитарий не включен оператором информационной системы, в которой осуществляется выпуск цифровых финансовых активов, в реестр пользователей информационной системы, с указанием на то, что Депозитарий является номинальным держателем, в порядке, </w:t>
            </w:r>
            <w:r w:rsidRPr="007F164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установленном Банком России на основании части 4 статьи 2 </w:t>
            </w:r>
            <w:r w:rsidRPr="007F1642">
              <w:rPr>
                <w:rFonts w:ascii="Tahoma" w:hAnsi="Tahoma" w:cs="Tahoma"/>
                <w:sz w:val="20"/>
                <w:szCs w:val="20"/>
              </w:rPr>
              <w:t>Федерального закона от 31.07.2020 №259-ФЗ</w:t>
            </w:r>
            <w:r w:rsidR="009812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555" w:type="dxa"/>
          </w:tcPr>
          <w:p w14:paraId="3C8F82E7" w14:textId="77777777" w:rsidR="00FC5EC9" w:rsidRPr="007F1642" w:rsidRDefault="00FC5EC9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Цифровые права не принимаются на обслуживание в следующих случаях:</w:t>
            </w:r>
          </w:p>
          <w:p w14:paraId="689DAB9C" w14:textId="77777777" w:rsidR="00FC5EC9" w:rsidRPr="007F1642" w:rsidRDefault="00FC5EC9" w:rsidP="00E33F1B">
            <w:pPr>
              <w:pStyle w:val="11"/>
              <w:numPr>
                <w:ilvl w:val="2"/>
                <w:numId w:val="11"/>
              </w:numPr>
              <w:spacing w:line="240" w:lineRule="auto"/>
              <w:ind w:left="263" w:hanging="26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оператором инвестиционной платформы Депозитарию не предоставлена возможность принять для учета утилитарные </w:t>
            </w:r>
            <w:r w:rsidRPr="007F164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цифровые права при их обращении в соответствии с частью 9 статьи 8 Федерального закона от 02.08.2019 №259-ФЗ «О </w:t>
            </w:r>
            <w:r w:rsidRPr="007F1642">
              <w:rPr>
                <w:rFonts w:ascii="Tahoma" w:hAnsi="Tahoma" w:cs="Tahoma"/>
                <w:sz w:val="20"/>
                <w:szCs w:val="20"/>
              </w:rPr>
              <w:t>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      </w:r>
          </w:p>
          <w:p w14:paraId="6D5E10CA" w14:textId="3D45D4DD" w:rsidR="00FC5EC9" w:rsidRPr="00981201" w:rsidRDefault="00FC5EC9" w:rsidP="00E33F1B">
            <w:pPr>
              <w:pStyle w:val="11"/>
              <w:numPr>
                <w:ilvl w:val="2"/>
                <w:numId w:val="11"/>
              </w:numPr>
              <w:spacing w:line="240" w:lineRule="auto"/>
              <w:ind w:left="263" w:hanging="263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 xml:space="preserve">Депозитарий не включен оператором информационной системы, в которой осуществляется выпуск цифровых финансовых активов, в реестр пользователей информационной системы, с указанием на то, что Депозитарий является номинальным держателем, в порядке, </w:t>
            </w:r>
            <w:r w:rsidRPr="007F164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установленном Банком России на основании части 4 статьи 2 </w:t>
            </w:r>
            <w:r w:rsidRPr="007F1642">
              <w:rPr>
                <w:rFonts w:ascii="Tahoma" w:hAnsi="Tahoma" w:cs="Tahoma"/>
                <w:sz w:val="20"/>
                <w:szCs w:val="20"/>
              </w:rPr>
              <w:t>Федеральн</w:t>
            </w:r>
            <w:r w:rsidR="00981201">
              <w:rPr>
                <w:rFonts w:ascii="Tahoma" w:hAnsi="Tahoma" w:cs="Tahoma"/>
                <w:sz w:val="20"/>
                <w:szCs w:val="20"/>
              </w:rPr>
              <w:t xml:space="preserve">ого закона от 31.07.2020 </w:t>
            </w:r>
            <w:r w:rsidR="00981201" w:rsidRPr="007F1642">
              <w:rPr>
                <w:rFonts w:ascii="Tahoma" w:hAnsi="Tahoma" w:cs="Tahoma"/>
                <w:sz w:val="20"/>
                <w:szCs w:val="20"/>
              </w:rPr>
              <w:t>№259-ФЗ</w:t>
            </w:r>
            <w:r w:rsidR="009812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1201" w:rsidRPr="00981201">
              <w:rPr>
                <w:rFonts w:ascii="Tahoma" w:hAnsi="Tahoma" w:cs="Tahoma"/>
                <w:b/>
                <w:sz w:val="20"/>
                <w:szCs w:val="20"/>
              </w:rPr>
              <w:t>«О цифровых финансовых активах, цифровой валюте и о внесении изменений в отдельные законодательные акты Российской Федерации»</w:t>
            </w:r>
            <w:r w:rsidR="00981201" w:rsidRPr="009812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415C14" w:rsidRPr="00691F73" w14:paraId="371F4DF8" w14:textId="77777777" w:rsidTr="00E33F1B">
        <w:tc>
          <w:tcPr>
            <w:tcW w:w="816" w:type="dxa"/>
            <w:vAlign w:val="center"/>
          </w:tcPr>
          <w:p w14:paraId="08E959B0" w14:textId="37C50977" w:rsidR="00415C14" w:rsidRPr="00691F73" w:rsidRDefault="00415C1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B227752" w14:textId="448D7E2C" w:rsidR="00415C14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6.31.2.</w:t>
            </w:r>
          </w:p>
        </w:tc>
        <w:tc>
          <w:tcPr>
            <w:tcW w:w="6633" w:type="dxa"/>
            <w:gridSpan w:val="2"/>
          </w:tcPr>
          <w:p w14:paraId="74488271" w14:textId="3E386C77" w:rsidR="00415C14" w:rsidRPr="00691F73" w:rsidRDefault="00415C14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</w:tcPr>
          <w:p w14:paraId="1CC11A6B" w14:textId="38E5947E" w:rsidR="00415C14" w:rsidRPr="00691F73" w:rsidRDefault="0070702D" w:rsidP="00E33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Депозитарий открывает российскому юридическому лицу или эмитенту еврооблигаций на основании заявления российского юридического лица или эмитента еврооблигаций соответственно счет хранения погашенных ценных бумаг в случае приобретения ими еврооблигаций с целью прекращения их обращения (форма №R12).</w:t>
            </w:r>
          </w:p>
        </w:tc>
      </w:tr>
      <w:tr w:rsidR="00415C14" w:rsidRPr="00691F73" w14:paraId="49C2DEC1" w14:textId="77777777" w:rsidTr="00E33F1B">
        <w:tc>
          <w:tcPr>
            <w:tcW w:w="816" w:type="dxa"/>
            <w:vAlign w:val="center"/>
          </w:tcPr>
          <w:p w14:paraId="3D5383EB" w14:textId="26E3B48A" w:rsidR="00415C14" w:rsidRPr="00691F73" w:rsidRDefault="00415C1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7F8A01E" w14:textId="7ECBDAAE" w:rsidR="00415C14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6.31.4.</w:t>
            </w:r>
          </w:p>
        </w:tc>
        <w:tc>
          <w:tcPr>
            <w:tcW w:w="6633" w:type="dxa"/>
            <w:gridSpan w:val="2"/>
          </w:tcPr>
          <w:p w14:paraId="25E2BAA2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На счет хранения погашенных ценных бумаг зачисляются только:</w:t>
            </w:r>
          </w:p>
          <w:p w14:paraId="061EAAFA" w14:textId="77777777" w:rsidR="0070702D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погашенные в полном объеме еврооблигации;</w:t>
            </w:r>
          </w:p>
          <w:p w14:paraId="114B9D3A" w14:textId="77777777" w:rsidR="0070702D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еврооблигации, по которым российским юридическим лицом исполнены обязательства путем размещения замещающих облигаций;</w:t>
            </w:r>
          </w:p>
          <w:p w14:paraId="28237F42" w14:textId="3F8CA2BA" w:rsidR="00415C14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погашенные в полном объеме еврооблигации Российской Федерации.</w:t>
            </w:r>
          </w:p>
        </w:tc>
        <w:tc>
          <w:tcPr>
            <w:tcW w:w="6555" w:type="dxa"/>
          </w:tcPr>
          <w:p w14:paraId="067B13FC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На счет хранения погашенных ценных бумаг зачисляются только:</w:t>
            </w:r>
          </w:p>
          <w:p w14:paraId="3ABA5242" w14:textId="77777777" w:rsidR="0070702D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погашенные в полном объеме еврооблигации;</w:t>
            </w:r>
          </w:p>
          <w:p w14:paraId="18F29229" w14:textId="77777777" w:rsidR="0070702D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еврооблигации, по которым российским юридическим лицом исполнены обязательства путем размещения замещающих облигаций;</w:t>
            </w:r>
          </w:p>
          <w:p w14:paraId="3364B589" w14:textId="77777777" w:rsidR="0070702D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sz w:val="20"/>
                <w:szCs w:val="20"/>
              </w:rPr>
              <w:t>еврооблигации, приобретенные российским юридическим лицом или эмитентом еврооблигаций с целью прекращения их обращения;</w:t>
            </w:r>
          </w:p>
          <w:p w14:paraId="74D5D114" w14:textId="5CF162B6" w:rsidR="00415C14" w:rsidRPr="00691F73" w:rsidRDefault="0070702D" w:rsidP="00E33F1B">
            <w:pPr>
              <w:pStyle w:val="ab"/>
              <w:numPr>
                <w:ilvl w:val="0"/>
                <w:numId w:val="6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погашенные в полном объеме еврооблигации Российской Федерации.</w:t>
            </w:r>
          </w:p>
        </w:tc>
      </w:tr>
      <w:tr w:rsidR="00415C14" w:rsidRPr="00691F73" w14:paraId="50494E35" w14:textId="77777777" w:rsidTr="00E33F1B">
        <w:tc>
          <w:tcPr>
            <w:tcW w:w="816" w:type="dxa"/>
            <w:vAlign w:val="center"/>
          </w:tcPr>
          <w:p w14:paraId="48227AF9" w14:textId="25B1165C" w:rsidR="00415C14" w:rsidRPr="00691F73" w:rsidRDefault="00415C14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DD47853" w14:textId="0868EC75" w:rsidR="00415C14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6.31.7.</w:t>
            </w:r>
          </w:p>
        </w:tc>
        <w:tc>
          <w:tcPr>
            <w:tcW w:w="6633" w:type="dxa"/>
            <w:gridSpan w:val="2"/>
          </w:tcPr>
          <w:p w14:paraId="0B18E824" w14:textId="4C1C00AA" w:rsidR="00415C14" w:rsidRPr="00691F73" w:rsidRDefault="00415C14" w:rsidP="00E33F1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555" w:type="dxa"/>
          </w:tcPr>
          <w:p w14:paraId="558E546A" w14:textId="191E69B2" w:rsidR="00415C14" w:rsidRPr="00691F73" w:rsidRDefault="0070702D" w:rsidP="00E33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Операции по зачислению еврооблигаций, которые приобретены  российским юридическим лицом (эмитентом еврооблигаций) с целью прекращения их обращения, осуществляются на счет хранения погашенных ценных бумаг на основании поручения российского юридического лица (эмитента еврооблигаций) (форма №R18).</w:t>
            </w:r>
          </w:p>
        </w:tc>
      </w:tr>
      <w:tr w:rsidR="0070702D" w:rsidRPr="00691F73" w14:paraId="3CEF2C38" w14:textId="77777777" w:rsidTr="00E33F1B">
        <w:tc>
          <w:tcPr>
            <w:tcW w:w="816" w:type="dxa"/>
            <w:vAlign w:val="center"/>
          </w:tcPr>
          <w:p w14:paraId="53E880EE" w14:textId="119C608F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19A71D1B" w14:textId="189C8874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7.1.2.</w:t>
            </w:r>
          </w:p>
        </w:tc>
        <w:tc>
          <w:tcPr>
            <w:tcW w:w="6633" w:type="dxa"/>
            <w:gridSpan w:val="2"/>
          </w:tcPr>
          <w:p w14:paraId="3B1444D7" w14:textId="69500CA9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Передача информации Депоненту о корпоративных действиях и событиях эмитентов, поступивших в Депозитарий от НКО АО НРД, полученных им в свою очередь от </w:t>
            </w:r>
            <w:r w:rsidRPr="0098120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иностранных депозитариев</w:t>
            </w: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в формате ISO20022 </w:t>
            </w:r>
            <w:r w:rsidRPr="0098120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осуществляется</w:t>
            </w: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путем размещения информации на сайте Депозитария не позднее рабочего дня, следующего за днем получения этой информации Депозитарием, в порядке, указанном в </w:t>
            </w:r>
            <w:proofErr w:type="spellStart"/>
            <w:r w:rsidR="00981201" w:rsidRPr="0098120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пп</w:t>
            </w:r>
            <w:proofErr w:type="spellEnd"/>
            <w:r w:rsidR="00981201" w:rsidRPr="0098120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.</w:t>
            </w: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1.2.9.-1.2.13. Условий.</w:t>
            </w:r>
          </w:p>
        </w:tc>
        <w:tc>
          <w:tcPr>
            <w:tcW w:w="6555" w:type="dxa"/>
          </w:tcPr>
          <w:p w14:paraId="13A1B025" w14:textId="443CEA5B" w:rsidR="0070702D" w:rsidRPr="00691F73" w:rsidRDefault="0070702D" w:rsidP="00E33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 xml:space="preserve">Передача информации Депоненту о корпоративных действиях и событиях эмитентов, поступивших в Депозитарий от НКО АО НРД, полученных им в свою очередь от </w:t>
            </w:r>
            <w:r w:rsidRPr="00691F73">
              <w:rPr>
                <w:rFonts w:ascii="Tahoma" w:hAnsi="Tahoma" w:cs="Tahoma"/>
                <w:b/>
                <w:sz w:val="20"/>
                <w:szCs w:val="20"/>
              </w:rPr>
              <w:t>мест хранения ценных бумаг</w:t>
            </w:r>
            <w:r w:rsidR="00981201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Pr="00691F7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81201">
              <w:rPr>
                <w:rFonts w:ascii="Tahoma" w:hAnsi="Tahoma" w:cs="Tahoma"/>
                <w:sz w:val="20"/>
                <w:szCs w:val="20"/>
              </w:rPr>
              <w:t>в формате ISO20022</w:t>
            </w:r>
            <w:r w:rsidRPr="00691F73">
              <w:rPr>
                <w:rFonts w:ascii="Tahoma" w:hAnsi="Tahoma" w:cs="Tahoma"/>
                <w:b/>
                <w:sz w:val="20"/>
                <w:szCs w:val="20"/>
              </w:rPr>
              <w:t xml:space="preserve"> может осуществляться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 путем размещения информации на сайте Депозитария не позднее рабочего дня, следующего за днем получения этой информации Депозитарием, в порядке, указанном в 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пунктах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 1.2.9.-1.2.13. Условий.</w:t>
            </w:r>
          </w:p>
        </w:tc>
      </w:tr>
      <w:tr w:rsidR="0070702D" w:rsidRPr="00691F73" w14:paraId="4D978FEE" w14:textId="77777777" w:rsidTr="00E33F1B">
        <w:tc>
          <w:tcPr>
            <w:tcW w:w="816" w:type="dxa"/>
            <w:vAlign w:val="center"/>
          </w:tcPr>
          <w:p w14:paraId="3E8043B3" w14:textId="5340B73E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59B1FE52" w14:textId="415F9DA1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7.1.3.</w:t>
            </w:r>
          </w:p>
        </w:tc>
        <w:tc>
          <w:tcPr>
            <w:tcW w:w="6633" w:type="dxa"/>
            <w:gridSpan w:val="2"/>
          </w:tcPr>
          <w:p w14:paraId="636F2B42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Депозитарий обеспечивает участие Депонента в следующих корпоративных действиях:</w:t>
            </w:r>
          </w:p>
          <w:p w14:paraId="3ADB7FA8" w14:textId="77777777" w:rsidR="0070702D" w:rsidRPr="00691F73" w:rsidRDefault="0070702D" w:rsidP="00E33F1B">
            <w:pPr>
              <w:pStyle w:val="ab"/>
              <w:numPr>
                <w:ilvl w:val="0"/>
                <w:numId w:val="7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конвертация ценных бумаг;</w:t>
            </w:r>
          </w:p>
          <w:p w14:paraId="11BD3377" w14:textId="77777777" w:rsidR="0070702D" w:rsidRPr="00691F73" w:rsidRDefault="0070702D" w:rsidP="00E33F1B">
            <w:pPr>
              <w:pStyle w:val="ab"/>
              <w:numPr>
                <w:ilvl w:val="0"/>
                <w:numId w:val="7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погашение (аннулирование) ценных бумаг;</w:t>
            </w:r>
          </w:p>
          <w:p w14:paraId="226C1122" w14:textId="77777777" w:rsidR="0070702D" w:rsidRPr="00691F73" w:rsidRDefault="0070702D" w:rsidP="00E33F1B">
            <w:pPr>
              <w:pStyle w:val="ab"/>
              <w:numPr>
                <w:ilvl w:val="0"/>
                <w:numId w:val="7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начисление доходов ценными бумагами;</w:t>
            </w:r>
          </w:p>
          <w:p w14:paraId="26DA01F8" w14:textId="77777777" w:rsidR="0070702D" w:rsidRPr="00691F73" w:rsidRDefault="0070702D" w:rsidP="00E33F1B">
            <w:pPr>
              <w:pStyle w:val="ab"/>
              <w:numPr>
                <w:ilvl w:val="0"/>
                <w:numId w:val="7"/>
              </w:numPr>
              <w:spacing w:line="240" w:lineRule="auto"/>
              <w:ind w:left="287" w:hanging="287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выплата доходов по ценным бумагам и иных причитающихся владельцам ценных бумаг выплат;</w:t>
            </w:r>
          </w:p>
          <w:p w14:paraId="1C7676E5" w14:textId="148A5EEA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6555" w:type="dxa"/>
          </w:tcPr>
          <w:p w14:paraId="520069CA" w14:textId="77777777" w:rsidR="0070702D" w:rsidRPr="00691F73" w:rsidRDefault="0070702D" w:rsidP="00E33F1B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Депозитарий обеспечивает участие Депонента в следующих корпоративных действиях:</w:t>
            </w:r>
          </w:p>
          <w:p w14:paraId="74E7408C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конвертация ценных бумаг;</w:t>
            </w:r>
          </w:p>
          <w:p w14:paraId="66A436B7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погашение (аннулирование) ценных бумаг;</w:t>
            </w:r>
          </w:p>
          <w:p w14:paraId="44D3EE0F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sz w:val="20"/>
                <w:szCs w:val="20"/>
              </w:rPr>
              <w:t>дробление или консолидация ценных бумаг;</w:t>
            </w:r>
          </w:p>
          <w:p w14:paraId="11609EA7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начисление доходов ценными бумагами;</w:t>
            </w:r>
          </w:p>
          <w:p w14:paraId="42B3210B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 xml:space="preserve">выплата доходов по ценным бумагам </w:t>
            </w:r>
            <w:r w:rsidRPr="00691F73">
              <w:rPr>
                <w:rFonts w:ascii="Tahoma" w:hAnsi="Tahoma" w:cs="Tahoma"/>
                <w:b/>
                <w:sz w:val="20"/>
                <w:szCs w:val="20"/>
              </w:rPr>
              <w:t>(цифровым правам)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 и иных причитающихся владельцам ценных бумаг </w:t>
            </w:r>
            <w:r w:rsidRPr="00691F73">
              <w:rPr>
                <w:rFonts w:ascii="Tahoma" w:hAnsi="Tahoma" w:cs="Tahoma"/>
                <w:b/>
                <w:sz w:val="20"/>
                <w:szCs w:val="20"/>
              </w:rPr>
              <w:t>(цифровых прав)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 выплат;</w:t>
            </w:r>
          </w:p>
          <w:p w14:paraId="6D077B8F" w14:textId="77777777" w:rsidR="0070702D" w:rsidRPr="00691F73" w:rsidRDefault="0070702D" w:rsidP="00E33F1B">
            <w:pPr>
              <w:pStyle w:val="ab"/>
              <w:numPr>
                <w:ilvl w:val="0"/>
                <w:numId w:val="8"/>
              </w:numPr>
              <w:spacing w:line="240" w:lineRule="auto"/>
              <w:ind w:left="304" w:hanging="28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1F73">
              <w:rPr>
                <w:rFonts w:ascii="Tahoma" w:hAnsi="Tahoma" w:cs="Tahoma"/>
                <w:b/>
                <w:sz w:val="20"/>
                <w:szCs w:val="20"/>
              </w:rPr>
              <w:t>зачисление дополнительного выпуска ценных бумаг;</w:t>
            </w:r>
          </w:p>
          <w:p w14:paraId="07BBE046" w14:textId="531C119D" w:rsidR="0070702D" w:rsidRPr="00691F73" w:rsidRDefault="0070702D" w:rsidP="00E33F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</w:tr>
      <w:tr w:rsidR="00981201" w:rsidRPr="00691F73" w14:paraId="56DB1C33" w14:textId="77777777" w:rsidTr="00E33F1B">
        <w:tc>
          <w:tcPr>
            <w:tcW w:w="816" w:type="dxa"/>
            <w:vAlign w:val="center"/>
          </w:tcPr>
          <w:p w14:paraId="2418A67A" w14:textId="514C6312" w:rsidR="00981201" w:rsidRPr="00691F73" w:rsidRDefault="0098120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60B7613F" w14:textId="72FB63CA" w:rsidR="00981201" w:rsidRPr="00691F73" w:rsidRDefault="0098120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7.9.12.</w:t>
            </w:r>
          </w:p>
        </w:tc>
        <w:tc>
          <w:tcPr>
            <w:tcW w:w="6633" w:type="dxa"/>
            <w:gridSpan w:val="2"/>
          </w:tcPr>
          <w:p w14:paraId="761AA04D" w14:textId="4C222F91" w:rsidR="00981201" w:rsidRPr="00691F73" w:rsidRDefault="00981201" w:rsidP="00BB15ED">
            <w:pPr>
              <w:pStyle w:val="a4"/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Особенности проведения корпоративных действий, предусмотренных ст. 17.3 Ф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едерального закона от </w:t>
            </w:r>
            <w:r w:rsidR="00103F47">
              <w:rPr>
                <w:rFonts w:ascii="Tahoma" w:hAnsi="Tahoma" w:cs="Tahoma"/>
                <w:sz w:val="20"/>
                <w:szCs w:val="20"/>
              </w:rPr>
              <w:t xml:space="preserve">22.04.1996 </w:t>
            </w:r>
            <w:r w:rsidR="00103F47" w:rsidRPr="007F1642">
              <w:rPr>
                <w:rFonts w:ascii="Tahoma" w:hAnsi="Tahoma" w:cs="Tahoma"/>
                <w:sz w:val="20"/>
                <w:szCs w:val="20"/>
              </w:rPr>
              <w:t>«</w:t>
            </w:r>
            <w:r w:rsidRPr="007F1642">
              <w:rPr>
                <w:rFonts w:ascii="Tahoma" w:hAnsi="Tahoma" w:cs="Tahoma"/>
                <w:sz w:val="20"/>
                <w:szCs w:val="20"/>
              </w:rPr>
              <w:t>О рынке ценных бумаг», изложены в п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7.14. настоящих Условий.</w:t>
            </w:r>
          </w:p>
        </w:tc>
        <w:tc>
          <w:tcPr>
            <w:tcW w:w="6555" w:type="dxa"/>
          </w:tcPr>
          <w:p w14:paraId="768491D2" w14:textId="311F7E1F" w:rsidR="00981201" w:rsidRPr="00691F73" w:rsidRDefault="00981201" w:rsidP="00BB15ED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1642">
              <w:rPr>
                <w:rFonts w:ascii="Tahoma" w:hAnsi="Tahoma" w:cs="Tahoma"/>
                <w:sz w:val="20"/>
                <w:szCs w:val="20"/>
              </w:rPr>
              <w:t>Особенности проведения корпоративных действий, предусмотренных ст. 17.3 Ф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едерального закона от 22.04.1996 </w:t>
            </w:r>
            <w:r w:rsidRPr="00981201">
              <w:rPr>
                <w:rFonts w:ascii="Tahoma" w:hAnsi="Tahoma" w:cs="Tahoma"/>
                <w:b/>
                <w:sz w:val="20"/>
                <w:szCs w:val="20"/>
              </w:rPr>
              <w:t>№39-ФЗ</w:t>
            </w:r>
            <w:r w:rsidRPr="007F1642">
              <w:rPr>
                <w:rFonts w:ascii="Tahoma" w:hAnsi="Tahoma" w:cs="Tahoma"/>
                <w:sz w:val="20"/>
                <w:szCs w:val="20"/>
              </w:rPr>
              <w:t xml:space="preserve"> «О рынке ценных бумаг», изложены в п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BB15ED">
              <w:rPr>
                <w:rFonts w:ascii="Tahoma" w:hAnsi="Tahoma" w:cs="Tahoma"/>
                <w:sz w:val="20"/>
                <w:szCs w:val="20"/>
              </w:rPr>
              <w:t xml:space="preserve"> 7.14. настоящих Условий/</w:t>
            </w:r>
          </w:p>
        </w:tc>
      </w:tr>
      <w:tr w:rsidR="00981201" w:rsidRPr="00691F73" w14:paraId="2561ED55" w14:textId="77777777" w:rsidTr="00E33F1B">
        <w:tc>
          <w:tcPr>
            <w:tcW w:w="816" w:type="dxa"/>
            <w:vAlign w:val="center"/>
          </w:tcPr>
          <w:p w14:paraId="086F815E" w14:textId="29D5477B" w:rsidR="00981201" w:rsidRDefault="0098120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8C2AD72" w14:textId="77777777" w:rsidR="00981201" w:rsidRDefault="00981201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33" w:type="dxa"/>
            <w:gridSpan w:val="2"/>
          </w:tcPr>
          <w:p w14:paraId="1F84B988" w14:textId="77777777" w:rsidR="00981201" w:rsidRPr="007F1642" w:rsidRDefault="00981201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</w:tcPr>
          <w:p w14:paraId="41CE60BC" w14:textId="046029B7" w:rsidR="00981201" w:rsidRPr="007F1642" w:rsidRDefault="00981201" w:rsidP="00E33F1B">
            <w:pPr>
              <w:pStyle w:val="a4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Внесены правки технического характера (</w:t>
            </w:r>
            <w:r w:rsidR="00D54B97">
              <w:rPr>
                <w:rFonts w:ascii="Tahoma" w:hAnsi="Tahoma" w:cs="Tahoma"/>
                <w:sz w:val="20"/>
                <w:szCs w:val="20"/>
              </w:rPr>
              <w:t>п.5</w:t>
            </w:r>
            <w:r w:rsidR="00CE6517">
              <w:rPr>
                <w:rFonts w:ascii="Tahoma" w:hAnsi="Tahoma" w:cs="Tahoma"/>
                <w:sz w:val="20"/>
                <w:szCs w:val="20"/>
              </w:rPr>
              <w:t>.</w:t>
            </w:r>
            <w:r w:rsidR="00D54B97">
              <w:rPr>
                <w:rFonts w:ascii="Tahoma" w:hAnsi="Tahoma" w:cs="Tahoma"/>
                <w:sz w:val="20"/>
                <w:szCs w:val="20"/>
              </w:rPr>
              <w:t>4</w:t>
            </w:r>
            <w:r w:rsidR="00CE6517">
              <w:rPr>
                <w:rFonts w:ascii="Tahoma" w:hAnsi="Tahoma" w:cs="Tahoma"/>
                <w:sz w:val="20"/>
                <w:szCs w:val="20"/>
              </w:rPr>
              <w:t>.</w:t>
            </w:r>
            <w:r w:rsidR="00D54B97">
              <w:rPr>
                <w:rFonts w:ascii="Tahoma" w:hAnsi="Tahoma" w:cs="Tahoma"/>
                <w:sz w:val="20"/>
                <w:szCs w:val="20"/>
              </w:rPr>
              <w:t>7</w:t>
            </w:r>
            <w:r w:rsidR="00CE651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D54B97">
              <w:rPr>
                <w:rFonts w:ascii="Tahoma" w:hAnsi="Tahoma" w:cs="Tahoma"/>
                <w:sz w:val="20"/>
                <w:szCs w:val="20"/>
              </w:rPr>
              <w:t xml:space="preserve"> п.5.6.3., п.5.6.18., </w:t>
            </w:r>
            <w:r w:rsidR="00CE65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4B97">
              <w:rPr>
                <w:rFonts w:ascii="Tahoma" w:hAnsi="Tahoma" w:cs="Tahoma"/>
                <w:sz w:val="20"/>
                <w:szCs w:val="20"/>
              </w:rPr>
              <w:t>п.6.13.16., п.6.20.16., п.6.21.5</w:t>
            </w:r>
            <w:r w:rsidR="00CE6517">
              <w:rPr>
                <w:rFonts w:ascii="Tahoma" w:hAnsi="Tahoma" w:cs="Tahoma"/>
                <w:sz w:val="20"/>
                <w:szCs w:val="20"/>
              </w:rPr>
              <w:t xml:space="preserve">., п.6.26.2., </w:t>
            </w:r>
            <w:r w:rsidR="00D54B97">
              <w:rPr>
                <w:rFonts w:ascii="Tahoma" w:hAnsi="Tahoma" w:cs="Tahoma"/>
                <w:sz w:val="20"/>
                <w:szCs w:val="20"/>
              </w:rPr>
              <w:t>п.6.26.9, п.6.30.2.)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0702D" w:rsidRPr="00691F73" w14:paraId="76DB5D12" w14:textId="77777777" w:rsidTr="00E33F1B">
        <w:tc>
          <w:tcPr>
            <w:tcW w:w="15138" w:type="dxa"/>
            <w:gridSpan w:val="5"/>
            <w:shd w:val="clear" w:color="auto" w:fill="BFBFBF" w:themeFill="background1" w:themeFillShade="BF"/>
            <w:vAlign w:val="center"/>
          </w:tcPr>
          <w:p w14:paraId="4544AE31" w14:textId="77777777" w:rsidR="0070702D" w:rsidRPr="00691F73" w:rsidRDefault="0070702D" w:rsidP="00E33F1B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Приложения к документу</w:t>
            </w:r>
          </w:p>
        </w:tc>
      </w:tr>
      <w:tr w:rsidR="0070702D" w:rsidRPr="00691F73" w14:paraId="3F08CE3A" w14:textId="77777777" w:rsidTr="00C90F61">
        <w:tc>
          <w:tcPr>
            <w:tcW w:w="816" w:type="dxa"/>
            <w:vAlign w:val="center"/>
          </w:tcPr>
          <w:p w14:paraId="588E827C" w14:textId="7FBD0824" w:rsidR="0070702D" w:rsidRPr="00691F73" w:rsidRDefault="00FD5F0A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E30AE21" w14:textId="11B997FD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5C951515" w14:textId="77777777" w:rsidR="0070702D" w:rsidRPr="00691F73" w:rsidRDefault="0070702D" w:rsidP="00E33F1B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5" w:type="dxa"/>
            <w:vAlign w:val="center"/>
          </w:tcPr>
          <w:p w14:paraId="43A4CA31" w14:textId="4F1E824E" w:rsidR="0070702D" w:rsidRPr="00691F73" w:rsidRDefault="0070702D" w:rsidP="00E33F1B">
            <w:pPr>
              <w:pStyle w:val="ab"/>
              <w:numPr>
                <w:ilvl w:val="0"/>
                <w:numId w:val="9"/>
              </w:numPr>
              <w:spacing w:line="240" w:lineRule="auto"/>
              <w:ind w:left="304" w:hanging="30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</w:rPr>
              <w:t>внесены изменения в формы документов, представляемых Депонентами в Депозитарий, а именно:</w:t>
            </w:r>
          </w:p>
          <w:p w14:paraId="23ED9B6F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01-1  Анкета Депонента (юридического лица/ иностранной структуры без образования юридического лица);</w:t>
            </w:r>
          </w:p>
          <w:p w14:paraId="6D70BECC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01-2  Анкета Депонента (страховой организации);</w:t>
            </w:r>
          </w:p>
          <w:p w14:paraId="1954914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02  Анкета Депонента (физического лица/ индивидуального предпринимателя);</w:t>
            </w:r>
          </w:p>
          <w:p w14:paraId="5C55D2F7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04  Информация в отношении лица, передавшего ценные бумаги в оплату инвестиционных паев (анкета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субсчета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 xml:space="preserve"> депо);</w:t>
            </w:r>
          </w:p>
          <w:p w14:paraId="638B31D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05  Анкета уполномоченного представителя Клиента (Депонента) (уполномоченный представитель - юридическое лицо);</w:t>
            </w:r>
          </w:p>
          <w:p w14:paraId="1CDCF08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06  Анкета уполномоченного представителя Клиента (Депонента) (уполномоченный представитель - физическое лицо);</w:t>
            </w:r>
          </w:p>
          <w:p w14:paraId="3133B49E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07  Анкета выгодоприобретателя Клиента (Депонента) (выгодоприобретатель - юридическое лицо, иностранная структура без образования юридического лица);</w:t>
            </w:r>
          </w:p>
          <w:p w14:paraId="27A4E8FE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08  Анкета выгодоприобретателя Клиента (Депонента) (выгодоприобретатель - физическое лицо);</w:t>
            </w:r>
          </w:p>
          <w:p w14:paraId="7C8B18B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09  Анкета клиента (управляющей компании);</w:t>
            </w:r>
          </w:p>
          <w:p w14:paraId="7F3FE00C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10  Анкета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бенефициарного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 xml:space="preserve"> владельца Клиента (Депонента);</w:t>
            </w:r>
          </w:p>
          <w:p w14:paraId="508315C8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>11  Анкета Оператора/Попечителя счета депо;</w:t>
            </w:r>
          </w:p>
          <w:p w14:paraId="4FE78960" w14:textId="77777777" w:rsidR="0070702D" w:rsidRPr="00D54B97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12  </w:t>
            </w:r>
            <w:r w:rsidRPr="00D54B97">
              <w:rPr>
                <w:rFonts w:ascii="Tahoma" w:hAnsi="Tahoma" w:cs="Tahoma"/>
                <w:sz w:val="20"/>
                <w:szCs w:val="20"/>
              </w:rPr>
              <w:t>Анкета залогодержателя (юридического лица);</w:t>
            </w:r>
          </w:p>
          <w:p w14:paraId="008DFB0D" w14:textId="142E559E" w:rsidR="0070702D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4B97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D54B97">
              <w:rPr>
                <w:rFonts w:ascii="Tahoma" w:hAnsi="Tahoma" w:cs="Tahoma"/>
                <w:sz w:val="20"/>
                <w:szCs w:val="20"/>
              </w:rPr>
              <w:t>13  Анкета залогодержателя (физического лица);</w:t>
            </w:r>
          </w:p>
          <w:p w14:paraId="61E4C6A9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01  Поручение на открытие счета депо;</w:t>
            </w:r>
          </w:p>
          <w:p w14:paraId="20A6304B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02  Поручение на закрытие счета депо;</w:t>
            </w:r>
          </w:p>
          <w:p w14:paraId="22976598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03-1  Поручение на прием ценных бумаг на учет и/или хранение;</w:t>
            </w:r>
          </w:p>
          <w:p w14:paraId="2521427A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03-2  Поручение на снятие ценных бумаг с учета и/или хранения;</w:t>
            </w:r>
          </w:p>
          <w:p w14:paraId="07FFF606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03-3  Поручение на перевод ценных бумаг (между счетами депо Депонентов);</w:t>
            </w:r>
          </w:p>
          <w:p w14:paraId="018E0466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03-4  Поручение на перемещение ценных бумаг; </w:t>
            </w:r>
          </w:p>
          <w:p w14:paraId="404B63B8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03-5  Поручение на перевод ценных бумаг Депонента на торговый счет депо/ с торгового счета депо;</w:t>
            </w:r>
          </w:p>
          <w:p w14:paraId="273D5932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04-1  Поручение (закрытое хранение закладных);</w:t>
            </w:r>
          </w:p>
          <w:p w14:paraId="77939FD0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04-2  Сводное поручение на операции с электронными закладными;</w:t>
            </w:r>
          </w:p>
          <w:p w14:paraId="7566E7CB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05  Поручение на выдачу информации;</w:t>
            </w:r>
          </w:p>
          <w:p w14:paraId="6F02C2F9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06-1  Поручение на открытие/закрытие торгового раздела в расчетном депозитарии (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субсчета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 xml:space="preserve"> депо номинального держателя) и проведение операций по торговому счету депо Депонента по результатам клиринга;</w:t>
            </w:r>
          </w:p>
          <w:p w14:paraId="57FEAF4F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06-2  Поручение на открытие/закрытие счета (раздела счета) в месте хранения ценных бумаг/ назначение брокера оператором счета (раздела счета) в месте хранения ценных бумаг и проведение операции зачисления/списания ценных бумаг по счету депо Депонента;</w:t>
            </w:r>
          </w:p>
          <w:p w14:paraId="6098566B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06-3  Поручение на открытие/закрытие торгового раздела в расчетном депозитарии;</w:t>
            </w:r>
          </w:p>
          <w:p w14:paraId="4F383637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06-4  Поручение на проведение операций по торговому счету депо Депонента по результатам клиринга;</w:t>
            </w:r>
          </w:p>
          <w:p w14:paraId="3A84B2AC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06-5  Поручение на прием электронных закладных при их выдаче;</w:t>
            </w:r>
          </w:p>
          <w:p w14:paraId="0FC7506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07-1  Поручение на обременение ЦБ/ прекращение обременения ЦБ;</w:t>
            </w:r>
          </w:p>
          <w:p w14:paraId="6C63F959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07-2  Поручение на передачу права залога;</w:t>
            </w:r>
          </w:p>
          <w:p w14:paraId="5261B02F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07-3  Поручение на внесение изменений в условия залога ценных бумаг;</w:t>
            </w:r>
          </w:p>
          <w:p w14:paraId="08B0E7CD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07-4  Поручение на ограничение распоряжения ЦБ/ снятие ограничения распоряжения ЦБ; </w:t>
            </w:r>
          </w:p>
          <w:p w14:paraId="05B94618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07-5  Поручение на депонирование/перевод и обременение/прекращение обременения ценных бумаг по договору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эскроу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FC2B70C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07-6  Поручение на внесение изменений в условия обременения ценных бумаг и иные условия по договору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эскроу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14:paraId="5BF52744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09  Поручение на обмен инвестиционных паев;</w:t>
            </w:r>
          </w:p>
          <w:p w14:paraId="432064B3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10  Поручение на погашение инвестиционных паев;</w:t>
            </w:r>
          </w:p>
          <w:p w14:paraId="4CC3EE5C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 xml:space="preserve">11  Поручение на проведение операций по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</w:rPr>
              <w:t>субсчету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 xml:space="preserve"> депо;</w:t>
            </w:r>
          </w:p>
          <w:p w14:paraId="139C1644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R13 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Поручение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на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отмену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60EF62F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14  Поручение на приобретение инвестиционных паев;</w:t>
            </w:r>
          </w:p>
          <w:p w14:paraId="67074DDA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15  Поручение на внесение изменений в Анкету Депонента (реквизиты счета депо);</w:t>
            </w:r>
          </w:p>
          <w:p w14:paraId="1E4289CD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16  Поручение на назначение Оператора/Попечителя  счета депо на отмену полномочий Оператора/Попечителя счета депо;</w:t>
            </w:r>
          </w:p>
          <w:p w14:paraId="79AD3CA2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17  Поручение на внесение изменений в Анкету Оператора/ Попечителя  счета депо;</w:t>
            </w:r>
          </w:p>
          <w:p w14:paraId="05FC17C7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18  Поручение на перевод ценных бумаг на счет хранения погашенных ценных бумаг;</w:t>
            </w:r>
          </w:p>
          <w:p w14:paraId="3328E9C3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CA</w:t>
            </w:r>
            <w:r w:rsidRPr="00691F73">
              <w:rPr>
                <w:rFonts w:ascii="Tahoma" w:hAnsi="Tahoma" w:cs="Tahoma"/>
                <w:sz w:val="20"/>
                <w:szCs w:val="20"/>
              </w:rPr>
              <w:t>331  Инструкция на участие в корпоративном действии;</w:t>
            </w:r>
          </w:p>
          <w:p w14:paraId="0FAF0585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CA</w:t>
            </w:r>
            <w:r w:rsidRPr="00691F73">
              <w:rPr>
                <w:rFonts w:ascii="Tahoma" w:hAnsi="Tahoma" w:cs="Tahoma"/>
                <w:sz w:val="20"/>
                <w:szCs w:val="20"/>
              </w:rPr>
              <w:t>382  Инструкция по корпоративному действию;</w:t>
            </w:r>
          </w:p>
          <w:p w14:paraId="487374AB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CA</w:t>
            </w:r>
            <w:r w:rsidRPr="00691F73">
              <w:rPr>
                <w:rFonts w:ascii="Tahoma" w:hAnsi="Tahoma" w:cs="Tahoma"/>
                <w:sz w:val="20"/>
                <w:szCs w:val="20"/>
              </w:rPr>
              <w:t>383  Инструкция по информированию эмитента;</w:t>
            </w:r>
          </w:p>
          <w:p w14:paraId="104F8FB1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SM</w:t>
            </w:r>
            <w:r w:rsidRPr="00691F73">
              <w:rPr>
                <w:rFonts w:ascii="Tahoma" w:hAnsi="Tahoma" w:cs="Tahoma"/>
                <w:sz w:val="20"/>
                <w:szCs w:val="20"/>
              </w:rPr>
              <w:t>131  Инструкция на движение внутри позиции;</w:t>
            </w:r>
          </w:p>
          <w:p w14:paraId="574820B6" w14:textId="77777777" w:rsidR="0070702D" w:rsidRPr="00691F73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CA044 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Инструкция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по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голосованию</w:t>
            </w:r>
            <w:proofErr w:type="spellEnd"/>
            <w:r w:rsidRPr="00691F7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51BD4CA" w14:textId="3644D097" w:rsidR="0070702D" w:rsidRDefault="0070702D" w:rsidP="00E33F1B">
            <w:pPr>
              <w:pStyle w:val="ab"/>
              <w:numPr>
                <w:ilvl w:val="1"/>
                <w:numId w:val="9"/>
              </w:numPr>
              <w:spacing w:line="240" w:lineRule="auto"/>
              <w:ind w:left="5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CA</w:t>
            </w:r>
            <w:r w:rsidRPr="00691F73">
              <w:rPr>
                <w:rFonts w:ascii="Tahoma" w:hAnsi="Tahoma" w:cs="Tahoma"/>
                <w:sz w:val="20"/>
                <w:szCs w:val="20"/>
              </w:rPr>
              <w:t>401 Поручение на отмену инструкции на у</w:t>
            </w:r>
            <w:r w:rsidR="00FD5F0A">
              <w:rPr>
                <w:rFonts w:ascii="Tahoma" w:hAnsi="Tahoma" w:cs="Tahoma"/>
                <w:sz w:val="20"/>
                <w:szCs w:val="20"/>
              </w:rPr>
              <w:t>частие в корпоративном действии;</w:t>
            </w:r>
          </w:p>
          <w:p w14:paraId="3EE8A137" w14:textId="1C2846EE" w:rsidR="00CD5ECC" w:rsidRDefault="00FD5F0A" w:rsidP="00BB15ED">
            <w:pPr>
              <w:pStyle w:val="ab"/>
              <w:numPr>
                <w:ilvl w:val="0"/>
                <w:numId w:val="9"/>
              </w:numPr>
              <w:spacing w:line="240" w:lineRule="auto"/>
              <w:ind w:left="315" w:hanging="31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="00CD5ECC">
              <w:rPr>
                <w:rFonts w:ascii="Tahoma" w:hAnsi="Tahoma" w:cs="Tahoma"/>
                <w:sz w:val="20"/>
                <w:szCs w:val="20"/>
              </w:rPr>
              <w:t>несены правки технического характера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формы Приложения 1</w:t>
            </w:r>
            <w:r w:rsidR="00CD5ECC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158E31C" w14:textId="5F582232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D01 </w:t>
            </w:r>
            <w:r>
              <w:rPr>
                <w:rFonts w:ascii="Tahoma" w:hAnsi="Tahoma" w:cs="Tahoma"/>
                <w:sz w:val="20"/>
                <w:szCs w:val="20"/>
              </w:rPr>
              <w:t>Доверенность (юридического лица)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C00B90A" w14:textId="19CE1F41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D02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Доверенность (физического лица)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DCAB59F" w14:textId="6E58D8D9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Z01 </w:t>
            </w:r>
            <w:r>
              <w:rPr>
                <w:rFonts w:ascii="Tahoma" w:hAnsi="Tahoma" w:cs="Tahoma"/>
                <w:sz w:val="20"/>
                <w:szCs w:val="20"/>
              </w:rPr>
              <w:t>Заявление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8227DC9" w14:textId="4CD43E78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Z</w:t>
            </w:r>
            <w:r w:rsidRPr="00CD5ECC">
              <w:rPr>
                <w:rFonts w:ascii="Tahoma" w:hAnsi="Tahoma" w:cs="Tahoma"/>
                <w:sz w:val="20"/>
                <w:szCs w:val="20"/>
              </w:rPr>
              <w:t>02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Карточка с образцами подписей и оттиска печати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EEC7BCD" w14:textId="1D338365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Z03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Заявление (многоразового действия)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F3FDE4B" w14:textId="77351CB6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CD5ECC">
              <w:rPr>
                <w:rFonts w:ascii="Tahoma" w:hAnsi="Tahoma" w:cs="Tahoma"/>
                <w:sz w:val="20"/>
                <w:szCs w:val="20"/>
              </w:rPr>
              <w:t>01-1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 (зачисление)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6344360" w14:textId="476F358B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CD5ECC">
              <w:rPr>
                <w:rFonts w:ascii="Tahoma" w:hAnsi="Tahoma" w:cs="Tahoma"/>
                <w:sz w:val="20"/>
                <w:szCs w:val="20"/>
              </w:rPr>
              <w:t>01-2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 (списание)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FF87574" w14:textId="1B8C26FB" w:rsidR="00CD5ECC" w:rsidRDefault="00CD5ECC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CD5ECC">
              <w:rPr>
                <w:rFonts w:ascii="Tahoma" w:hAnsi="Tahoma" w:cs="Tahoma"/>
                <w:sz w:val="20"/>
                <w:szCs w:val="20"/>
              </w:rPr>
              <w:t>01-3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 (перевод)</w:t>
            </w:r>
            <w:r w:rsidR="00E34CD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1A3E12E" w14:textId="566358B8" w:rsidR="00CD5ECC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 xml:space="preserve">01-4 </w:t>
            </w:r>
            <w:r>
              <w:rPr>
                <w:rFonts w:ascii="Tahoma" w:hAnsi="Tahoma" w:cs="Tahoma"/>
                <w:sz w:val="20"/>
                <w:szCs w:val="20"/>
              </w:rPr>
              <w:t>Отчет о выполнении депозитарной операции (перемещение);</w:t>
            </w:r>
          </w:p>
          <w:p w14:paraId="63B47BE2" w14:textId="436C844C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01-5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 (обременение залог);</w:t>
            </w:r>
          </w:p>
          <w:p w14:paraId="58A69EAA" w14:textId="6A8EEBBB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02-1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по операциям за период;</w:t>
            </w:r>
          </w:p>
          <w:p w14:paraId="0347D38B" w14:textId="50A3A368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 xml:space="preserve">02-2 </w:t>
            </w:r>
            <w:r>
              <w:rPr>
                <w:rFonts w:ascii="Tahoma" w:hAnsi="Tahoma" w:cs="Tahoma"/>
                <w:sz w:val="20"/>
                <w:szCs w:val="20"/>
              </w:rPr>
              <w:t>Отчет по операциям за период;</w:t>
            </w:r>
          </w:p>
          <w:p w14:paraId="0E9D30AD" w14:textId="4C88D03B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02-3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по операциям за период отдельно по уникальным разделам места хранения;</w:t>
            </w:r>
          </w:p>
          <w:p w14:paraId="4B3AB092" w14:textId="291EA02A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02-4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по операциям по всем видам ценных бумаг одного эмитента за период;</w:t>
            </w:r>
          </w:p>
          <w:p w14:paraId="3CC90A9C" w14:textId="6FA8D61E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02-5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по операциям по одному выпуску ценных бумаг эмитента за период;</w:t>
            </w:r>
          </w:p>
          <w:p w14:paraId="6AE456EA" w14:textId="54E520D3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03-1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всем ценным бумагам на счете депо;</w:t>
            </w:r>
          </w:p>
          <w:p w14:paraId="22995799" w14:textId="06DDB184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всем ценным бумагам на счете депо (на начало операционного дня);</w:t>
            </w:r>
          </w:p>
          <w:p w14:paraId="3627274E" w14:textId="356CC71C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Справка о количестве ценных бумаг по всем ценным бумагам на счете депо;</w:t>
            </w:r>
          </w:p>
          <w:p w14:paraId="12EAD147" w14:textId="3884DE76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одному виду ценных бумаг;</w:t>
            </w:r>
          </w:p>
          <w:p w14:paraId="7ACECBC0" w14:textId="25BB50A7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одному виду ценных бумаг (на начало операционного дня);</w:t>
            </w:r>
          </w:p>
          <w:p w14:paraId="5A55A709" w14:textId="101D61F0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Справка о количестве ценных бумаг по одному виду ценных бумаг;</w:t>
            </w:r>
          </w:p>
          <w:p w14:paraId="32A40687" w14:textId="50B9CCC8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03-3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всем видам ценных бумаг одного эмитента;</w:t>
            </w:r>
          </w:p>
          <w:p w14:paraId="789D7187" w14:textId="349EEB1B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Выписка по всем видам ценных бумаг одного эмитента (на начало операционного дня); </w:t>
            </w:r>
          </w:p>
          <w:p w14:paraId="10FB9268" w14:textId="5748AE2E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03-3</w:t>
            </w:r>
            <w:r w:rsidR="00FD5F0A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Справка о количестве ценных бумаг по всем видам ценных бумаг одного эмитента;</w:t>
            </w:r>
          </w:p>
          <w:p w14:paraId="5DDDD18E" w14:textId="03C06FFF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 xml:space="preserve">04 </w:t>
            </w:r>
            <w:r>
              <w:rPr>
                <w:rFonts w:ascii="Tahoma" w:hAnsi="Tahoma" w:cs="Tahoma"/>
                <w:sz w:val="20"/>
                <w:szCs w:val="20"/>
              </w:rPr>
              <w:t>Отчет о депозитарных операциях за период;</w:t>
            </w:r>
          </w:p>
          <w:p w14:paraId="3021FE62" w14:textId="29AE9BF9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 xml:space="preserve">05-1 </w:t>
            </w:r>
            <w:r>
              <w:rPr>
                <w:rFonts w:ascii="Tahoma" w:hAnsi="Tahoma" w:cs="Tahoma"/>
                <w:sz w:val="20"/>
                <w:szCs w:val="20"/>
              </w:rPr>
              <w:t>Отчет об открытии счета депо;</w:t>
            </w:r>
          </w:p>
          <w:p w14:paraId="770654EF" w14:textId="77DC3625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05-2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операции;</w:t>
            </w:r>
          </w:p>
          <w:p w14:paraId="56160E85" w14:textId="79E389C4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05-3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операции;</w:t>
            </w:r>
          </w:p>
          <w:p w14:paraId="70AD72EE" w14:textId="6B99E394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об открытии торгового раздела в расчетном депозитарии;</w:t>
            </w:r>
          </w:p>
          <w:p w14:paraId="485DA11A" w14:textId="0450FF99" w:rsidR="00E34CD4" w:rsidRP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05-5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закрытии торгового раздела в расчетном депозитарии;</w:t>
            </w:r>
          </w:p>
          <w:p w14:paraId="7468CFD5" w14:textId="381E182E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05-6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об открытии счета (раздела счета) депо в месте хранения ценных бумаг;</w:t>
            </w:r>
          </w:p>
          <w:p w14:paraId="4437BA7C" w14:textId="2CC4DC7E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05-7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закрытии счета (раздела счета) депо в месте хранения ценны бумаг;</w:t>
            </w:r>
          </w:p>
          <w:p w14:paraId="0BCF5719" w14:textId="7814BA4A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05-8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об открытии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субсчета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депо;</w:t>
            </w:r>
          </w:p>
          <w:p w14:paraId="50F906AC" w14:textId="1CBF9F8E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05-9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выполнении депозитарной операции;</w:t>
            </w:r>
          </w:p>
          <w:p w14:paraId="7E58DF1A" w14:textId="42929566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 xml:space="preserve">05-10 </w:t>
            </w:r>
            <w:r>
              <w:rPr>
                <w:rFonts w:ascii="Tahoma" w:hAnsi="Tahoma" w:cs="Tahoma"/>
                <w:sz w:val="20"/>
                <w:szCs w:val="20"/>
              </w:rPr>
              <w:t>Отчет об открытии Торгового раздела в расчетном депозитарии</w:t>
            </w:r>
            <w:r w:rsidR="00AC62AF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CCB0A50" w14:textId="580B6689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05-11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о закрытии Торгового раздела в расчетном депозитарии</w:t>
            </w:r>
            <w:r w:rsidR="00AC62AF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8A1CDF7" w14:textId="2FA854F4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S06 </w:t>
            </w:r>
            <w:r>
              <w:rPr>
                <w:rFonts w:ascii="Tahoma" w:hAnsi="Tahoma" w:cs="Tahoma"/>
                <w:sz w:val="20"/>
                <w:szCs w:val="20"/>
              </w:rPr>
              <w:t>Уведомление об отказе</w:t>
            </w:r>
            <w:r w:rsidR="00AC62AF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FC61F15" w14:textId="48008501" w:rsid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E34CD4">
              <w:rPr>
                <w:rFonts w:ascii="Tahoma" w:hAnsi="Tahoma" w:cs="Tahoma"/>
                <w:sz w:val="20"/>
                <w:szCs w:val="20"/>
              </w:rPr>
              <w:t>07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Отчет по операциям транзитному счету</w:t>
            </w:r>
            <w:r w:rsidR="00AC62AF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0610575" w14:textId="3B930026" w:rsidR="00E34CD4" w:rsidRPr="00E34CD4" w:rsidRDefault="00E34CD4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AC62AF">
              <w:rPr>
                <w:rFonts w:ascii="Tahoma" w:hAnsi="Tahoma" w:cs="Tahoma"/>
                <w:sz w:val="20"/>
                <w:szCs w:val="20"/>
              </w:rPr>
              <w:t xml:space="preserve">08 </w:t>
            </w:r>
            <w:r w:rsidR="00AC62AF">
              <w:rPr>
                <w:rFonts w:ascii="Tahoma" w:hAnsi="Tahoma" w:cs="Tahoma"/>
                <w:sz w:val="20"/>
                <w:szCs w:val="20"/>
              </w:rPr>
              <w:t>Выписка по транзитному счету;</w:t>
            </w:r>
          </w:p>
          <w:p w14:paraId="794EA85D" w14:textId="7EC7884E" w:rsidR="00E34CD4" w:rsidRPr="00E34CD4" w:rsidRDefault="00AC62AF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E34CD4">
              <w:rPr>
                <w:rFonts w:ascii="Tahoma" w:hAnsi="Tahoma" w:cs="Tahoma"/>
                <w:sz w:val="20"/>
                <w:szCs w:val="20"/>
              </w:rPr>
              <w:t>08-1</w:t>
            </w:r>
            <w:r w:rsidR="00E34CD4" w:rsidRPr="00E34C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Выписка по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субсчету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транзитного счета;</w:t>
            </w:r>
          </w:p>
          <w:p w14:paraId="5A9F318F" w14:textId="7C2B8999" w:rsidR="00E34CD4" w:rsidRDefault="00AC62AF" w:rsidP="00E33F1B">
            <w:pPr>
              <w:pStyle w:val="ab"/>
              <w:numPr>
                <w:ilvl w:val="0"/>
                <w:numId w:val="18"/>
              </w:numPr>
              <w:spacing w:line="240" w:lineRule="auto"/>
              <w:ind w:left="688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E34CD4">
              <w:rPr>
                <w:rFonts w:ascii="Tahoma" w:hAnsi="Tahoma" w:cs="Tahoma"/>
                <w:sz w:val="20"/>
                <w:szCs w:val="20"/>
              </w:rPr>
              <w:t xml:space="preserve">09 </w:t>
            </w:r>
            <w:r>
              <w:rPr>
                <w:rFonts w:ascii="Tahoma" w:hAnsi="Tahoma" w:cs="Tahoma"/>
                <w:sz w:val="20"/>
                <w:szCs w:val="20"/>
              </w:rPr>
              <w:t>Уведомление об исполнении поручения на отмену</w:t>
            </w:r>
            <w:r w:rsidR="00FD5F0A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D4AB7A8" w14:textId="526BEB63" w:rsidR="00FD5F0A" w:rsidRPr="00FD5F0A" w:rsidRDefault="00FD5F0A" w:rsidP="00C90F61">
            <w:pPr>
              <w:spacing w:line="240" w:lineRule="auto"/>
              <w:ind w:left="263" w:hanging="17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5F0A">
              <w:rPr>
                <w:rFonts w:ascii="Tahoma" w:hAnsi="Tahoma" w:cs="Tahoma"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внесены изменения в Приложение 2; </w:t>
            </w:r>
          </w:p>
          <w:p w14:paraId="2150843F" w14:textId="77777777" w:rsidR="00C90F61" w:rsidRDefault="00FD5F0A" w:rsidP="00C90F61">
            <w:pPr>
              <w:pStyle w:val="ab"/>
              <w:spacing w:line="240" w:lineRule="auto"/>
              <w:ind w:left="263" w:hanging="17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4) внесена правка технического характера в Приложение 3;</w:t>
            </w:r>
          </w:p>
          <w:p w14:paraId="17BF07BA" w14:textId="518BCB56" w:rsidR="0070702D" w:rsidRPr="00C90F61" w:rsidRDefault="00C90F61" w:rsidP="00C90F61">
            <w:pPr>
              <w:pStyle w:val="ab"/>
              <w:spacing w:line="240" w:lineRule="auto"/>
              <w:ind w:left="263" w:hanging="17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5) </w:t>
            </w:r>
            <w:r w:rsidR="0070702D" w:rsidRPr="00C90F61">
              <w:rPr>
                <w:rFonts w:ascii="Tahoma" w:hAnsi="Tahoma" w:cs="Tahoma"/>
                <w:sz w:val="20"/>
                <w:szCs w:val="20"/>
              </w:rPr>
              <w:t>введена новая форма документа, представляемая Депонентами в Депозитарий:</w:t>
            </w:r>
          </w:p>
          <w:p w14:paraId="5E56B273" w14:textId="169822D8" w:rsidR="0070702D" w:rsidRPr="00691F73" w:rsidRDefault="0070702D" w:rsidP="00E33F1B">
            <w:pPr>
              <w:pStyle w:val="ab"/>
              <w:spacing w:line="240" w:lineRule="auto"/>
              <w:ind w:left="58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1F73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Pr="00691F73">
              <w:rPr>
                <w:rFonts w:ascii="Tahoma" w:hAnsi="Tahoma" w:cs="Tahoma"/>
                <w:sz w:val="20"/>
                <w:szCs w:val="20"/>
              </w:rPr>
              <w:t>12 Заявление на открытие счета хранения погашенных ценных бумаг.</w:t>
            </w:r>
          </w:p>
        </w:tc>
      </w:tr>
    </w:tbl>
    <w:tbl>
      <w:tblPr>
        <w:tblStyle w:val="-2"/>
        <w:tblW w:w="15168" w:type="dxa"/>
        <w:tblInd w:w="-34" w:type="dxa"/>
        <w:tblBorders>
          <w:top w:val="single" w:sz="8" w:space="0" w:color="0099FF"/>
          <w:bottom w:val="single" w:sz="8" w:space="0" w:color="0099FF"/>
          <w:insideH w:val="single" w:sz="8" w:space="0" w:color="0099FF"/>
          <w:insideV w:val="single" w:sz="8" w:space="0" w:color="C0504D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5168"/>
      </w:tblGrid>
      <w:tr w:rsidR="00250644" w:rsidRPr="00691F73" w14:paraId="55AF4E9B" w14:textId="77777777" w:rsidTr="00154AA4">
        <w:trPr>
          <w:cantSplit/>
          <w:trHeight w:val="243"/>
          <w:tblHeader/>
        </w:trPr>
        <w:tc>
          <w:tcPr>
            <w:tcW w:w="15168" w:type="dxa"/>
            <w:shd w:val="clear" w:color="auto" w:fill="CDEBFF"/>
          </w:tcPr>
          <w:p w14:paraId="4FDC68DA" w14:textId="3B235F1F" w:rsidR="00FC11E1" w:rsidRPr="00691F73" w:rsidRDefault="0050541C" w:rsidP="00BD0FF7">
            <w:pPr>
              <w:pStyle w:val="af4"/>
              <w:tabs>
                <w:tab w:val="left" w:pos="8400"/>
              </w:tabs>
              <w:ind w:left="-108"/>
              <w:rPr>
                <w:rFonts w:ascii="Tahoma" w:hAnsi="Tahoma" w:cs="Tahoma"/>
                <w:b/>
                <w:color w:val="0099FF"/>
                <w:sz w:val="20"/>
                <w:szCs w:val="20"/>
              </w:rPr>
            </w:pPr>
            <w:r w:rsidRPr="00691F73">
              <w:rPr>
                <w:rFonts w:ascii="Tahoma" w:hAnsi="Tahoma" w:cs="Tahoma"/>
                <w:color w:val="0099FF"/>
                <w:sz w:val="20"/>
                <w:szCs w:val="20"/>
              </w:rPr>
              <w:t xml:space="preserve"> </w:t>
            </w:r>
            <w:r w:rsidR="00FC11E1" w:rsidRPr="00E33F1B">
              <w:rPr>
                <w:rFonts w:ascii="Tahoma" w:hAnsi="Tahoma" w:cs="Tahoma"/>
                <w:color w:val="auto"/>
                <w:sz w:val="20"/>
                <w:szCs w:val="20"/>
                <w:shd w:val="clear" w:color="auto" w:fill="CDEBFF"/>
              </w:rPr>
              <w:t>Примечание:</w:t>
            </w:r>
            <w:r w:rsidR="00BD0FF7" w:rsidRPr="00E33F1B">
              <w:rPr>
                <w:rFonts w:ascii="Tahoma" w:hAnsi="Tahoma" w:cs="Tahoma"/>
                <w:color w:val="auto"/>
                <w:sz w:val="20"/>
                <w:szCs w:val="20"/>
                <w:shd w:val="clear" w:color="auto" w:fill="CDEBFF"/>
              </w:rPr>
              <w:tab/>
            </w:r>
          </w:p>
        </w:tc>
      </w:tr>
      <w:tr w:rsidR="00250644" w:rsidRPr="00691F73" w14:paraId="3AD55DA5" w14:textId="77777777" w:rsidTr="00154AA4">
        <w:trPr>
          <w:cantSplit/>
          <w:trHeight w:val="258"/>
        </w:trPr>
        <w:tc>
          <w:tcPr>
            <w:tcW w:w="15168" w:type="dxa"/>
            <w:shd w:val="clear" w:color="auto" w:fill="FFFFFF" w:themeFill="background1"/>
          </w:tcPr>
          <w:p w14:paraId="4167813A" w14:textId="45CE44E0" w:rsidR="00FC11E1" w:rsidRPr="00691F73" w:rsidRDefault="00FC11E1" w:rsidP="00D921A1">
            <w:pPr>
              <w:pStyle w:val="af3"/>
              <w:rPr>
                <w:rFonts w:ascii="Tahoma" w:hAnsi="Tahoma" w:cs="Tahoma"/>
                <w:b/>
                <w:color w:val="0099FF"/>
                <w:sz w:val="20"/>
                <w:szCs w:val="20"/>
              </w:rPr>
            </w:pPr>
            <w:r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 xml:space="preserve">Если характер изменений таков, что привести старый и измененный текст затруднительно или очень </w:t>
            </w:r>
            <w:proofErr w:type="spellStart"/>
            <w:r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>трудозатратно</w:t>
            </w:r>
            <w:proofErr w:type="spellEnd"/>
            <w:r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>, например, по всему тексту изменена</w:t>
            </w:r>
            <w:r w:rsidR="00D921A1"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 xml:space="preserve"> </w:t>
            </w:r>
            <w:r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>/добавлена роль участника или ссылка на нормативный документ, то допускается перечислить изменения описательным способом без приведения конкретных пунктов. В этом случае столбец "Пункт №" не заполняется.</w:t>
            </w:r>
            <w:r w:rsidR="00D921A1" w:rsidRPr="00E33F1B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</w:tbl>
    <w:p w14:paraId="26765909" w14:textId="77777777" w:rsidR="00FC11E1" w:rsidRPr="00691F73" w:rsidRDefault="00FC11E1" w:rsidP="00D921A1">
      <w:pPr>
        <w:rPr>
          <w:rFonts w:ascii="Tahoma" w:hAnsi="Tahoma" w:cs="Tahoma"/>
          <w:color w:val="0099FF"/>
          <w:sz w:val="20"/>
          <w:szCs w:val="20"/>
        </w:rPr>
      </w:pPr>
    </w:p>
    <w:sectPr w:rsidR="00FC11E1" w:rsidRPr="00691F73" w:rsidSect="00101E7A">
      <w:footerReference w:type="default" r:id="rId8"/>
      <w:type w:val="continuous"/>
      <w:pgSz w:w="16838" w:h="11906" w:orient="landscape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22421" w14:textId="77777777" w:rsidR="00250644" w:rsidRDefault="00250644" w:rsidP="00D7542E">
      <w:pPr>
        <w:spacing w:line="240" w:lineRule="auto"/>
      </w:pPr>
      <w:r>
        <w:separator/>
      </w:r>
    </w:p>
  </w:endnote>
  <w:endnote w:type="continuationSeparator" w:id="0">
    <w:p w14:paraId="7248CA42" w14:textId="77777777" w:rsidR="00250644" w:rsidRDefault="00250644" w:rsidP="00D7542E">
      <w:pPr>
        <w:spacing w:line="240" w:lineRule="auto"/>
      </w:pPr>
      <w:r>
        <w:continuationSeparator/>
      </w:r>
    </w:p>
  </w:endnote>
  <w:endnote w:type="continuationNotice" w:id="1">
    <w:p w14:paraId="026B69B9" w14:textId="77777777" w:rsidR="00250644" w:rsidRDefault="002506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2742820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32D1D9DF" w14:textId="77777777" w:rsidR="00691F73" w:rsidRPr="00E33F1B" w:rsidRDefault="00691F73">
        <w:pPr>
          <w:pStyle w:val="af0"/>
          <w:jc w:val="right"/>
          <w:rPr>
            <w:rFonts w:ascii="Tahoma" w:hAnsi="Tahoma" w:cs="Tahoma"/>
            <w:sz w:val="16"/>
            <w:szCs w:val="16"/>
          </w:rPr>
        </w:pPr>
      </w:p>
      <w:p w14:paraId="25427CCC" w14:textId="4A752736" w:rsidR="00250644" w:rsidRPr="00E33F1B" w:rsidRDefault="00250644">
        <w:pPr>
          <w:pStyle w:val="af0"/>
          <w:jc w:val="right"/>
          <w:rPr>
            <w:rFonts w:ascii="Tahoma" w:hAnsi="Tahoma" w:cs="Tahoma"/>
            <w:sz w:val="20"/>
            <w:szCs w:val="20"/>
          </w:rPr>
        </w:pPr>
        <w:r w:rsidRPr="00E33F1B">
          <w:rPr>
            <w:rFonts w:ascii="Tahoma" w:hAnsi="Tahoma" w:cs="Tahoma"/>
            <w:sz w:val="20"/>
            <w:szCs w:val="20"/>
          </w:rPr>
          <w:fldChar w:fldCharType="begin"/>
        </w:r>
        <w:r w:rsidRPr="00E33F1B">
          <w:rPr>
            <w:rFonts w:ascii="Tahoma" w:hAnsi="Tahoma" w:cs="Tahoma"/>
            <w:sz w:val="20"/>
            <w:szCs w:val="20"/>
          </w:rPr>
          <w:instrText>PAGE   \* MERGEFORMAT</w:instrText>
        </w:r>
        <w:r w:rsidRPr="00E33F1B">
          <w:rPr>
            <w:rFonts w:ascii="Tahoma" w:hAnsi="Tahoma" w:cs="Tahoma"/>
            <w:sz w:val="20"/>
            <w:szCs w:val="20"/>
          </w:rPr>
          <w:fldChar w:fldCharType="separate"/>
        </w:r>
        <w:r w:rsidR="00101E7A">
          <w:rPr>
            <w:rFonts w:ascii="Tahoma" w:hAnsi="Tahoma" w:cs="Tahoma"/>
            <w:noProof/>
            <w:sz w:val="20"/>
            <w:szCs w:val="20"/>
          </w:rPr>
          <w:t>10</w:t>
        </w:r>
        <w:r w:rsidRPr="00E33F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BA5F60" w14:textId="77777777" w:rsidR="00250644" w:rsidRDefault="0025064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A815" w14:textId="77777777" w:rsidR="00250644" w:rsidRDefault="00250644" w:rsidP="00D7542E">
      <w:pPr>
        <w:spacing w:line="240" w:lineRule="auto"/>
      </w:pPr>
      <w:r>
        <w:separator/>
      </w:r>
    </w:p>
  </w:footnote>
  <w:footnote w:type="continuationSeparator" w:id="0">
    <w:p w14:paraId="6779D198" w14:textId="77777777" w:rsidR="00250644" w:rsidRDefault="00250644" w:rsidP="00D7542E">
      <w:pPr>
        <w:spacing w:line="240" w:lineRule="auto"/>
      </w:pPr>
      <w:r>
        <w:continuationSeparator/>
      </w:r>
    </w:p>
  </w:footnote>
  <w:footnote w:type="continuationNotice" w:id="1">
    <w:p w14:paraId="62D7CD92" w14:textId="77777777" w:rsidR="00250644" w:rsidRDefault="0025064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781"/>
    <w:multiLevelType w:val="hybridMultilevel"/>
    <w:tmpl w:val="CAEAF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60A"/>
    <w:multiLevelType w:val="hybridMultilevel"/>
    <w:tmpl w:val="276CC972"/>
    <w:lvl w:ilvl="0" w:tplc="BA886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C4604964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41E55"/>
    <w:multiLevelType w:val="hybridMultilevel"/>
    <w:tmpl w:val="F7A64272"/>
    <w:lvl w:ilvl="0" w:tplc="98E61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75B7"/>
    <w:multiLevelType w:val="multilevel"/>
    <w:tmpl w:val="A46AE6D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A20EF9"/>
    <w:multiLevelType w:val="multilevel"/>
    <w:tmpl w:val="00286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99F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282E94"/>
    <w:multiLevelType w:val="hybridMultilevel"/>
    <w:tmpl w:val="3C46CF44"/>
    <w:lvl w:ilvl="0" w:tplc="E87698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EF401E"/>
    <w:multiLevelType w:val="hybridMultilevel"/>
    <w:tmpl w:val="4F9A337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3C0C"/>
    <w:multiLevelType w:val="hybridMultilevel"/>
    <w:tmpl w:val="FCD64B3E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0F048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9FF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D04B2D"/>
    <w:multiLevelType w:val="hybridMultilevel"/>
    <w:tmpl w:val="B6D24F16"/>
    <w:lvl w:ilvl="0" w:tplc="555E7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3D66"/>
    <w:multiLevelType w:val="hybridMultilevel"/>
    <w:tmpl w:val="5A201154"/>
    <w:lvl w:ilvl="0" w:tplc="E87698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60600"/>
    <w:multiLevelType w:val="hybridMultilevel"/>
    <w:tmpl w:val="D7EE5114"/>
    <w:lvl w:ilvl="0" w:tplc="F41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15C76"/>
    <w:multiLevelType w:val="multilevel"/>
    <w:tmpl w:val="A4F4CC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99FF"/>
        <w:sz w:val="22"/>
        <w:szCs w:val="22"/>
      </w:rPr>
    </w:lvl>
    <w:lvl w:ilvl="1">
      <w:start w:val="1"/>
      <w:numFmt w:val="decimal"/>
      <w:lvlText w:val="%1.%2."/>
      <w:lvlJc w:val="left"/>
      <w:pPr>
        <w:ind w:left="2978" w:firstLine="0"/>
      </w:pPr>
      <w:rPr>
        <w:rFonts w:hint="default"/>
        <w:b w:val="0"/>
        <w:i/>
        <w:color w:val="0099FF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b w:val="0"/>
        <w:strike w:val="0"/>
        <w:color w:val="auto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6B270FB2"/>
    <w:multiLevelType w:val="hybridMultilevel"/>
    <w:tmpl w:val="498CF3CA"/>
    <w:lvl w:ilvl="0" w:tplc="1F708E1C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b w:val="0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336F58"/>
    <w:multiLevelType w:val="hybridMultilevel"/>
    <w:tmpl w:val="B4FCD140"/>
    <w:lvl w:ilvl="0" w:tplc="1FCA0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75F75"/>
    <w:multiLevelType w:val="hybridMultilevel"/>
    <w:tmpl w:val="3BEE977A"/>
    <w:lvl w:ilvl="0" w:tplc="C372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646FF"/>
    <w:multiLevelType w:val="hybridMultilevel"/>
    <w:tmpl w:val="C0A2B474"/>
    <w:lvl w:ilvl="0" w:tplc="4874D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E3CD7"/>
    <w:multiLevelType w:val="hybridMultilevel"/>
    <w:tmpl w:val="C2221576"/>
    <w:lvl w:ilvl="0" w:tplc="3BB01A28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9AE6B0C"/>
    <w:multiLevelType w:val="hybridMultilevel"/>
    <w:tmpl w:val="6B66A874"/>
    <w:lvl w:ilvl="0" w:tplc="E876983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0099FF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17"/>
  </w:num>
  <w:num w:numId="14">
    <w:abstractNumId w:val="2"/>
  </w:num>
  <w:num w:numId="15">
    <w:abstractNumId w:val="18"/>
  </w:num>
  <w:num w:numId="16">
    <w:abstractNumId w:val="0"/>
  </w:num>
  <w:num w:numId="17">
    <w:abstractNumId w:val="10"/>
  </w:num>
  <w:num w:numId="18">
    <w:abstractNumId w:val="6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A0"/>
    <w:rsid w:val="000016C1"/>
    <w:rsid w:val="0000710C"/>
    <w:rsid w:val="00033C76"/>
    <w:rsid w:val="0003405E"/>
    <w:rsid w:val="00034D6C"/>
    <w:rsid w:val="00050C77"/>
    <w:rsid w:val="00074E69"/>
    <w:rsid w:val="000959C0"/>
    <w:rsid w:val="000970AF"/>
    <w:rsid w:val="000A06A0"/>
    <w:rsid w:val="000A636D"/>
    <w:rsid w:val="000C3040"/>
    <w:rsid w:val="000C591E"/>
    <w:rsid w:val="000D494E"/>
    <w:rsid w:val="000D55D1"/>
    <w:rsid w:val="000D6729"/>
    <w:rsid w:val="000E2406"/>
    <w:rsid w:val="000E3AF9"/>
    <w:rsid w:val="000E7784"/>
    <w:rsid w:val="000F1E20"/>
    <w:rsid w:val="000F415D"/>
    <w:rsid w:val="0010007E"/>
    <w:rsid w:val="00101E7A"/>
    <w:rsid w:val="00103F47"/>
    <w:rsid w:val="00115F66"/>
    <w:rsid w:val="001336B7"/>
    <w:rsid w:val="0014739A"/>
    <w:rsid w:val="00154AA4"/>
    <w:rsid w:val="00175F94"/>
    <w:rsid w:val="0018022F"/>
    <w:rsid w:val="001815D4"/>
    <w:rsid w:val="00185124"/>
    <w:rsid w:val="001A713A"/>
    <w:rsid w:val="001C7F9D"/>
    <w:rsid w:val="001D7410"/>
    <w:rsid w:val="001E3514"/>
    <w:rsid w:val="001E6E2F"/>
    <w:rsid w:val="00200DBE"/>
    <w:rsid w:val="002074A5"/>
    <w:rsid w:val="0021466D"/>
    <w:rsid w:val="00215A22"/>
    <w:rsid w:val="00216DB3"/>
    <w:rsid w:val="002227CB"/>
    <w:rsid w:val="00226400"/>
    <w:rsid w:val="002301AB"/>
    <w:rsid w:val="00230D71"/>
    <w:rsid w:val="00246B69"/>
    <w:rsid w:val="00250644"/>
    <w:rsid w:val="00255799"/>
    <w:rsid w:val="002805DA"/>
    <w:rsid w:val="002A716F"/>
    <w:rsid w:val="002B7A0B"/>
    <w:rsid w:val="002C24DB"/>
    <w:rsid w:val="002C2C9E"/>
    <w:rsid w:val="002D02EE"/>
    <w:rsid w:val="002D0F53"/>
    <w:rsid w:val="002E624F"/>
    <w:rsid w:val="002E77BD"/>
    <w:rsid w:val="002F3D0C"/>
    <w:rsid w:val="003014CB"/>
    <w:rsid w:val="003136C2"/>
    <w:rsid w:val="00314556"/>
    <w:rsid w:val="00314ACA"/>
    <w:rsid w:val="003158AA"/>
    <w:rsid w:val="00350029"/>
    <w:rsid w:val="003525B8"/>
    <w:rsid w:val="00366185"/>
    <w:rsid w:val="003835F6"/>
    <w:rsid w:val="00394D64"/>
    <w:rsid w:val="003967D9"/>
    <w:rsid w:val="003A0C1C"/>
    <w:rsid w:val="003C4438"/>
    <w:rsid w:val="003E2B2F"/>
    <w:rsid w:val="003E53D2"/>
    <w:rsid w:val="003E5DB2"/>
    <w:rsid w:val="003F6232"/>
    <w:rsid w:val="004008F9"/>
    <w:rsid w:val="00404626"/>
    <w:rsid w:val="00405FA6"/>
    <w:rsid w:val="0041077A"/>
    <w:rsid w:val="00414D00"/>
    <w:rsid w:val="00415C14"/>
    <w:rsid w:val="00420A5E"/>
    <w:rsid w:val="0043016C"/>
    <w:rsid w:val="00436641"/>
    <w:rsid w:val="00451C20"/>
    <w:rsid w:val="004753FF"/>
    <w:rsid w:val="004A516F"/>
    <w:rsid w:val="004A5175"/>
    <w:rsid w:val="004B02C7"/>
    <w:rsid w:val="004B180C"/>
    <w:rsid w:val="004B3523"/>
    <w:rsid w:val="004E0A3E"/>
    <w:rsid w:val="004E2946"/>
    <w:rsid w:val="004E433B"/>
    <w:rsid w:val="004F04E5"/>
    <w:rsid w:val="004F3BB0"/>
    <w:rsid w:val="005042C5"/>
    <w:rsid w:val="00504894"/>
    <w:rsid w:val="0050541C"/>
    <w:rsid w:val="00506CC8"/>
    <w:rsid w:val="005162FF"/>
    <w:rsid w:val="0052602C"/>
    <w:rsid w:val="00564BA1"/>
    <w:rsid w:val="00595A26"/>
    <w:rsid w:val="00596A98"/>
    <w:rsid w:val="005C1AE5"/>
    <w:rsid w:val="005C7395"/>
    <w:rsid w:val="005E1281"/>
    <w:rsid w:val="005E6D8A"/>
    <w:rsid w:val="005F08C3"/>
    <w:rsid w:val="00645E51"/>
    <w:rsid w:val="00660172"/>
    <w:rsid w:val="006630F9"/>
    <w:rsid w:val="00670CF1"/>
    <w:rsid w:val="00674046"/>
    <w:rsid w:val="006807B8"/>
    <w:rsid w:val="00691F73"/>
    <w:rsid w:val="0069342D"/>
    <w:rsid w:val="006B4A90"/>
    <w:rsid w:val="006D2D80"/>
    <w:rsid w:val="00701CAA"/>
    <w:rsid w:val="0070702D"/>
    <w:rsid w:val="00733A4D"/>
    <w:rsid w:val="007508BC"/>
    <w:rsid w:val="00772136"/>
    <w:rsid w:val="007A2EDE"/>
    <w:rsid w:val="007A364F"/>
    <w:rsid w:val="007A7D29"/>
    <w:rsid w:val="007C00F1"/>
    <w:rsid w:val="007E7DED"/>
    <w:rsid w:val="008217A2"/>
    <w:rsid w:val="00840AA4"/>
    <w:rsid w:val="00853C77"/>
    <w:rsid w:val="0085529D"/>
    <w:rsid w:val="008623A1"/>
    <w:rsid w:val="00864E2A"/>
    <w:rsid w:val="00885C1A"/>
    <w:rsid w:val="00894434"/>
    <w:rsid w:val="008B04C5"/>
    <w:rsid w:val="008B5C86"/>
    <w:rsid w:val="008D09E1"/>
    <w:rsid w:val="008F07D1"/>
    <w:rsid w:val="008F0946"/>
    <w:rsid w:val="008F7F02"/>
    <w:rsid w:val="00900F7A"/>
    <w:rsid w:val="00921CC9"/>
    <w:rsid w:val="009704ED"/>
    <w:rsid w:val="00981201"/>
    <w:rsid w:val="00983E54"/>
    <w:rsid w:val="009844AD"/>
    <w:rsid w:val="009B26F8"/>
    <w:rsid w:val="009B3626"/>
    <w:rsid w:val="009C2EFE"/>
    <w:rsid w:val="009D2E3D"/>
    <w:rsid w:val="00A35825"/>
    <w:rsid w:val="00A51757"/>
    <w:rsid w:val="00A74399"/>
    <w:rsid w:val="00A75636"/>
    <w:rsid w:val="00A84594"/>
    <w:rsid w:val="00A87267"/>
    <w:rsid w:val="00AA498C"/>
    <w:rsid w:val="00AB467C"/>
    <w:rsid w:val="00AC62AF"/>
    <w:rsid w:val="00AC7904"/>
    <w:rsid w:val="00AD15C4"/>
    <w:rsid w:val="00AE47A1"/>
    <w:rsid w:val="00B01011"/>
    <w:rsid w:val="00B34E0C"/>
    <w:rsid w:val="00B41E29"/>
    <w:rsid w:val="00B47968"/>
    <w:rsid w:val="00B52C7F"/>
    <w:rsid w:val="00B55EA9"/>
    <w:rsid w:val="00B600FF"/>
    <w:rsid w:val="00B65840"/>
    <w:rsid w:val="00B90A3F"/>
    <w:rsid w:val="00B946DD"/>
    <w:rsid w:val="00BA4B60"/>
    <w:rsid w:val="00BA52CC"/>
    <w:rsid w:val="00BB15ED"/>
    <w:rsid w:val="00BC19B1"/>
    <w:rsid w:val="00BD0FF7"/>
    <w:rsid w:val="00BD5230"/>
    <w:rsid w:val="00C15343"/>
    <w:rsid w:val="00C23261"/>
    <w:rsid w:val="00C267F0"/>
    <w:rsid w:val="00C27AE8"/>
    <w:rsid w:val="00C36017"/>
    <w:rsid w:val="00C549AD"/>
    <w:rsid w:val="00C54F06"/>
    <w:rsid w:val="00C66957"/>
    <w:rsid w:val="00C70056"/>
    <w:rsid w:val="00C7584E"/>
    <w:rsid w:val="00C90F61"/>
    <w:rsid w:val="00CA18DC"/>
    <w:rsid w:val="00CA6D78"/>
    <w:rsid w:val="00CB4965"/>
    <w:rsid w:val="00CC1C66"/>
    <w:rsid w:val="00CC6568"/>
    <w:rsid w:val="00CD184C"/>
    <w:rsid w:val="00CD5ECC"/>
    <w:rsid w:val="00CE0E68"/>
    <w:rsid w:val="00CE6517"/>
    <w:rsid w:val="00D02F82"/>
    <w:rsid w:val="00D16384"/>
    <w:rsid w:val="00D21108"/>
    <w:rsid w:val="00D343EE"/>
    <w:rsid w:val="00D368F2"/>
    <w:rsid w:val="00D4732B"/>
    <w:rsid w:val="00D53C1A"/>
    <w:rsid w:val="00D54B97"/>
    <w:rsid w:val="00D562E1"/>
    <w:rsid w:val="00D7542E"/>
    <w:rsid w:val="00D921A1"/>
    <w:rsid w:val="00DA7468"/>
    <w:rsid w:val="00DA7892"/>
    <w:rsid w:val="00DB183E"/>
    <w:rsid w:val="00DB3823"/>
    <w:rsid w:val="00DC3D60"/>
    <w:rsid w:val="00E13090"/>
    <w:rsid w:val="00E210A4"/>
    <w:rsid w:val="00E2770A"/>
    <w:rsid w:val="00E33F1B"/>
    <w:rsid w:val="00E34CD4"/>
    <w:rsid w:val="00E35BE6"/>
    <w:rsid w:val="00E43319"/>
    <w:rsid w:val="00E851CB"/>
    <w:rsid w:val="00E9023D"/>
    <w:rsid w:val="00E90878"/>
    <w:rsid w:val="00E96EF7"/>
    <w:rsid w:val="00EA3865"/>
    <w:rsid w:val="00EA42F9"/>
    <w:rsid w:val="00EC04B0"/>
    <w:rsid w:val="00ED1028"/>
    <w:rsid w:val="00ED70C4"/>
    <w:rsid w:val="00EE6DE9"/>
    <w:rsid w:val="00EF5CD9"/>
    <w:rsid w:val="00F1202A"/>
    <w:rsid w:val="00F15A57"/>
    <w:rsid w:val="00F20313"/>
    <w:rsid w:val="00F23FB3"/>
    <w:rsid w:val="00F303CC"/>
    <w:rsid w:val="00F32DEF"/>
    <w:rsid w:val="00F43AE0"/>
    <w:rsid w:val="00F47D54"/>
    <w:rsid w:val="00F55C8D"/>
    <w:rsid w:val="00F61952"/>
    <w:rsid w:val="00F64C7A"/>
    <w:rsid w:val="00F814E3"/>
    <w:rsid w:val="00F91AF4"/>
    <w:rsid w:val="00FB051C"/>
    <w:rsid w:val="00FB7275"/>
    <w:rsid w:val="00FC11E1"/>
    <w:rsid w:val="00FC5EC9"/>
    <w:rsid w:val="00FD5F0A"/>
    <w:rsid w:val="00FE0D34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6B1379"/>
  <w15:docId w15:val="{2DF1CEA3-D2C2-4E01-9D3F-4D97FD39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0"/>
    <w:next w:val="a0"/>
    <w:link w:val="10"/>
    <w:uiPriority w:val="9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2-й Заголовок"/>
    <w:basedOn w:val="a0"/>
    <w:next w:val="a0"/>
    <w:link w:val="20"/>
    <w:uiPriority w:val="9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текст"/>
    <w:basedOn w:val="a0"/>
    <w:link w:val="a5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5">
    <w:name w:val="Обычный текст Знак"/>
    <w:link w:val="a4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4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4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2-й Заголовок Знак"/>
    <w:link w:val="2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0"/>
    <w:next w:val="a0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0"/>
    <w:next w:val="a0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6">
    <w:name w:val="caption"/>
    <w:basedOn w:val="a0"/>
    <w:next w:val="a0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7">
    <w:name w:val="Subtitle"/>
    <w:basedOn w:val="a0"/>
    <w:next w:val="a0"/>
    <w:link w:val="a8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8">
    <w:name w:val="Подзаголовок Знак"/>
    <w:link w:val="a7"/>
    <w:rsid w:val="00314ACA"/>
    <w:rPr>
      <w:rFonts w:ascii="Cambria" w:hAnsi="Cambria"/>
      <w:sz w:val="24"/>
      <w:szCs w:val="24"/>
    </w:rPr>
  </w:style>
  <w:style w:type="character" w:styleId="a9">
    <w:name w:val="Strong"/>
    <w:uiPriority w:val="22"/>
    <w:qFormat/>
    <w:rsid w:val="00314ACA"/>
    <w:rPr>
      <w:b/>
      <w:bCs/>
    </w:rPr>
  </w:style>
  <w:style w:type="character" w:styleId="aa">
    <w:name w:val="Emphasis"/>
    <w:uiPriority w:val="20"/>
    <w:qFormat/>
    <w:rsid w:val="00314ACA"/>
    <w:rPr>
      <w:i/>
      <w:iCs/>
    </w:rPr>
  </w:style>
  <w:style w:type="paragraph" w:styleId="ab">
    <w:name w:val="List Paragraph"/>
    <w:basedOn w:val="a0"/>
    <w:link w:val="ac"/>
    <w:uiPriority w:val="34"/>
    <w:qFormat/>
    <w:rsid w:val="00314ACA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e">
    <w:name w:val="header"/>
    <w:basedOn w:val="a0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D7542E"/>
    <w:rPr>
      <w:rFonts w:ascii="Century Gothic" w:hAnsi="Century Gothic"/>
      <w:sz w:val="22"/>
      <w:szCs w:val="24"/>
    </w:rPr>
  </w:style>
  <w:style w:type="paragraph" w:styleId="af0">
    <w:name w:val="footer"/>
    <w:basedOn w:val="a0"/>
    <w:link w:val="af1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D7542E"/>
    <w:rPr>
      <w:rFonts w:ascii="Century Gothic" w:hAnsi="Century Gothic"/>
      <w:sz w:val="22"/>
      <w:szCs w:val="24"/>
    </w:rPr>
  </w:style>
  <w:style w:type="table" w:styleId="af2">
    <w:name w:val="Table Grid"/>
    <w:basedOn w:val="a2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2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3">
    <w:name w:val="Примечание"/>
    <w:basedOn w:val="a0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4">
    <w:name w:val="Примечание титул"/>
    <w:basedOn w:val="a0"/>
    <w:link w:val="af5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5">
    <w:name w:val="Примечание титул Знак"/>
    <w:basedOn w:val="a1"/>
    <w:link w:val="af4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6">
    <w:name w:val="Hyperlink"/>
    <w:basedOn w:val="a1"/>
    <w:uiPriority w:val="99"/>
    <w:unhideWhenUsed/>
    <w:rsid w:val="00A51757"/>
    <w:rPr>
      <w:color w:val="0000FF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436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3664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3525B8"/>
    <w:rPr>
      <w:rFonts w:ascii="Century Gothic" w:hAnsi="Century Gothic"/>
      <w:sz w:val="22"/>
      <w:szCs w:val="24"/>
    </w:rPr>
  </w:style>
  <w:style w:type="paragraph" w:customStyle="1" w:styleId="a">
    <w:name w:val="Список с буллитом"/>
    <w:basedOn w:val="a0"/>
    <w:qFormat/>
    <w:rsid w:val="00983E54"/>
    <w:pPr>
      <w:widowControl w:val="0"/>
      <w:numPr>
        <w:numId w:val="14"/>
      </w:numPr>
      <w:contextualSpacing/>
      <w:jc w:val="both"/>
    </w:pPr>
    <w:rPr>
      <w:rFonts w:ascii="Verdana" w:eastAsia="Calibri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9B3A-71AD-4D6C-B786-67A22A09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3606</Words>
  <Characters>20558</Characters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2026-06-15T09:15:00Z</cp:lastPrinted>
  <dcterms:created xsi:type="dcterms:W3CDTF">2026-06-08T16:26:00Z</dcterms:created>
  <dcterms:modified xsi:type="dcterms:W3CDTF">2026-06-16T10:45:00Z</dcterms:modified>
</cp:coreProperties>
</file>