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575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1710"/>
        <w:gridCol w:w="1710"/>
        <w:gridCol w:w="840"/>
        <w:gridCol w:w="420"/>
        <w:gridCol w:w="1710"/>
        <w:gridCol w:w="2190"/>
        <w:gridCol w:w="1785"/>
      </w:tblGrid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Код территории по ОКАТО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45296561000</w:t>
            </w: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9725165895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1247700535697</w:t>
            </w:r>
          </w:p>
        </w:tc>
      </w:tr>
    </w:tbl>
    <w:tbl>
      <w:tblPr>
        <w:tblStyle w:val="TableStyle1"/>
        <w:tblW w:w="10575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99"/>
        <w:gridCol w:w="1475"/>
        <w:gridCol w:w="1475"/>
        <w:gridCol w:w="2918"/>
        <w:gridCol w:w="3045"/>
        <w:gridCol w:w="1463"/>
      </w:tblGrid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по состоянию на 31.01.2026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40" w:type="dxa"/>
            <w:gridSpan w:val="2"/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Код формы по ОКУД 0420413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Месячная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22"/>
              </w:rPr>
              <w:t>Раздел I. Информация о величине минимального размера собственных средств профессионального участника рынка ценных бумаг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3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35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80 000 000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2 000 000</w:t>
            </w:r>
          </w:p>
        </w:tc>
        <w:tc>
          <w:tcPr>
            <w:tcW w:w="3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</w:tr>
    </w:tbl>
    <w:tbl>
      <w:tblPr>
        <w:tblStyle w:val="TableStyle2"/>
        <w:tblW w:w="10590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22"/>
              </w:rPr>
              <w:t>Раздел II. Расчет размера собственных средств профессионального участника рынка ценных бумаг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Активы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участника, находящиеся</w:t>
            </w:r>
            <w:r>
              <w:rPr>
                <w:sz w:val="18"/>
                <w:szCs w:val="18"/>
              </w:rPr>
              <w:t xml:space="preserve"> в кассе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132 971 477,31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Денежные средства профессионального участника </w:t>
            </w:r>
            <w:r>
              <w:rPr>
                <w:sz w:val="18"/>
                <w:szCs w:val="18"/>
              </w:rPr>
              <w:t>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во вкладах</w:t>
            </w:r>
            <w:r>
              <w:rPr>
                <w:sz w:val="18"/>
                <w:szCs w:val="18"/>
              </w:rPr>
              <w:t xml:space="preserve">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и его клиентов, находящиеся на счетах профессионального участника</w:t>
            </w:r>
            <w:r>
              <w:rPr>
                <w:sz w:val="18"/>
                <w:szCs w:val="18"/>
              </w:rPr>
              <w:t xml:space="preserve"> в кредитных организациях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управления управляющему и (или) иностранному лицу, имеющему право в соответствии с его личным законом осуществлять деятельность по </w:t>
            </w:r>
            <w:r>
              <w:rPr>
                <w:sz w:val="18"/>
                <w:szCs w:val="18"/>
              </w:rPr>
              <w:t>управлению ценными бумагами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Денежные средства профессионального участника и его клиентов, переданные </w:t>
            </w:r>
            <w:r>
              <w:rPr>
                <w:sz w:val="18"/>
                <w:szCs w:val="18"/>
              </w:rPr>
              <w:t>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Драгоценные </w:t>
            </w:r>
            <w:r>
              <w:rPr>
                <w:sz w:val="18"/>
                <w:szCs w:val="18"/>
              </w:rPr>
              <w:t>металлы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</w:t>
            </w:r>
            <w:r>
              <w:rPr>
                <w:sz w:val="18"/>
                <w:szCs w:val="18"/>
              </w:rPr>
              <w:t>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</w:tbl>
    <w:p w:rsidR="00354D7E" w:rsidRDefault="00F658EE">
      <w:r>
        <w:br w:type="page"/>
      </w:r>
    </w:p>
    <w:tbl>
      <w:tblPr>
        <w:tblStyle w:val="TableStyle2"/>
        <w:tblW w:w="10590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Ценные бумаги профессионального участника и его клиентов, переданные в соответствии с договором об оказании клиринговых </w:t>
            </w:r>
            <w:r>
              <w:rPr>
                <w:sz w:val="18"/>
                <w:szCs w:val="18"/>
              </w:rPr>
              <w:t>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Дебиторская задолженность по выплате профессиональному </w:t>
            </w:r>
            <w:r>
              <w:rPr>
                <w:sz w:val="18"/>
                <w:szCs w:val="18"/>
              </w:rPr>
              <w:t>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8 501 076,87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</w:t>
            </w:r>
            <w:r>
              <w:rPr>
                <w:sz w:val="18"/>
                <w:szCs w:val="18"/>
              </w:rPr>
              <w:t>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Маржинальные займы, предоставленные клиентам профессионального участника, имеющего лицензию на осуществление брокерской деятельности, отнесенным в </w:t>
            </w:r>
            <w:r>
              <w:rPr>
                <w:sz w:val="18"/>
                <w:szCs w:val="18"/>
              </w:rPr>
              <w:t>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Акции российских эмитентов, являющихся публичными акционерными обществами, и акции иностранных эмитентов, а </w:t>
            </w:r>
            <w:r>
              <w:rPr>
                <w:sz w:val="18"/>
                <w:szCs w:val="18"/>
              </w:rPr>
              <w:t>также депозитарные расписки на них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</w:t>
            </w:r>
            <w:r>
              <w:rPr>
                <w:sz w:val="18"/>
                <w:szCs w:val="18"/>
              </w:rPr>
              <w:t>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Дебиторская задолженность управляющей компании биржевого паевого </w:t>
            </w:r>
            <w:r>
              <w:rPr>
                <w:sz w:val="18"/>
                <w:szCs w:val="18"/>
              </w:rPr>
              <w:t>инвестиционного фонда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  <w:trHeight w:val="246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обязательств профессиональн</w:t>
            </w:r>
            <w:r>
              <w:rPr>
                <w:sz w:val="18"/>
                <w:szCs w:val="18"/>
              </w:rPr>
              <w:t>ого участника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 особым уровнем </w:t>
            </w:r>
            <w:r>
              <w:rPr>
                <w:sz w:val="18"/>
                <w:szCs w:val="18"/>
              </w:rPr>
              <w:t>риска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Денежные средства, переданные профессиональным участником по первой части договора </w:t>
            </w:r>
            <w:proofErr w:type="spellStart"/>
            <w:r>
              <w:rPr>
                <w:sz w:val="18"/>
                <w:szCs w:val="18"/>
              </w:rPr>
              <w:t>репо</w:t>
            </w:r>
            <w:proofErr w:type="spellEnd"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</w:tbl>
    <w:p w:rsidR="00354D7E" w:rsidRDefault="00F658EE">
      <w:r>
        <w:br w:type="page"/>
      </w:r>
    </w:p>
    <w:tbl>
      <w:tblPr>
        <w:tblStyle w:val="TableStyle2"/>
        <w:tblW w:w="10590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Цифровые финансовые активы, удовлетворяющие требованиям пункта</w:t>
            </w:r>
            <w:r>
              <w:rPr>
                <w:sz w:val="18"/>
                <w:szCs w:val="18"/>
              </w:rPr>
              <w:t xml:space="preserve"> 3.6 Указания Банка № 5099-У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Иные финансовые активы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</w:t>
            </w:r>
            <w:r>
              <w:rPr>
                <w:sz w:val="18"/>
                <w:szCs w:val="18"/>
              </w:rPr>
              <w:t>профессиональным участником к бухгалтерскому учету в качестве основных средств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финансовые </w:t>
            </w:r>
            <w:r>
              <w:rPr>
                <w:sz w:val="18"/>
                <w:szCs w:val="18"/>
              </w:rPr>
              <w:t>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sz w:val="18"/>
                <w:szCs w:val="18"/>
              </w:rPr>
              <w:t>некредитной</w:t>
            </w:r>
            <w:proofErr w:type="spellEnd"/>
            <w:r>
              <w:rPr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851 314,23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средства клиентов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551 997,14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выпущенные долговые </w:t>
            </w:r>
            <w:r>
              <w:rPr>
                <w:sz w:val="18"/>
                <w:szCs w:val="18"/>
              </w:rPr>
              <w:t>ценные бумаги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299 317,09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Обязательства по вознаграждениям работникам по окончании трудовой деятельности, не ограниченным </w:t>
            </w:r>
            <w:r>
              <w:rPr>
                <w:sz w:val="18"/>
                <w:szCs w:val="18"/>
              </w:rPr>
              <w:t>фиксируемыми платежами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5 517 235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1 529 155,76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Прочие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141 472 554,18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7 897 704,99</w:t>
            </w: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133 574 849,19</w:t>
            </w:r>
          </w:p>
        </w:tc>
      </w:tr>
    </w:tbl>
    <w:tbl>
      <w:tblPr>
        <w:tblStyle w:val="TableStyle3"/>
        <w:tblW w:w="10575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1830"/>
        <w:gridCol w:w="2835"/>
        <w:gridCol w:w="1995"/>
        <w:gridCol w:w="3705"/>
      </w:tblGrid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7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4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7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</w:tbl>
    <w:p w:rsidR="00354D7E" w:rsidRDefault="00F658EE">
      <w:r>
        <w:br w:type="page"/>
      </w:r>
      <w:bookmarkStart w:id="0" w:name="_GoBack"/>
      <w:bookmarkEnd w:id="0"/>
    </w:p>
    <w:sectPr w:rsidR="00354D7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4D7E"/>
    <w:rsid w:val="00354D7E"/>
    <w:rsid w:val="00F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8E28A6-78D4-4344-95EC-18EBB212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2026-02-27T08:07:00Z</dcterms:created>
  <dcterms:modified xsi:type="dcterms:W3CDTF">2026-02-27T08:08:00Z</dcterms:modified>
</cp:coreProperties>
</file>