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0" w:type="dxa"/>
        <w:tblInd w:w="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14"/>
        <w:gridCol w:w="1454"/>
        <w:gridCol w:w="1468"/>
        <w:gridCol w:w="731"/>
        <w:gridCol w:w="375"/>
        <w:gridCol w:w="1454"/>
        <w:gridCol w:w="192"/>
        <w:gridCol w:w="183"/>
        <w:gridCol w:w="637"/>
        <w:gridCol w:w="121"/>
        <w:gridCol w:w="750"/>
        <w:gridCol w:w="195"/>
        <w:gridCol w:w="1337"/>
        <w:gridCol w:w="1455"/>
        <w:gridCol w:w="13"/>
        <w:gridCol w:w="15"/>
      </w:tblGrid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Код территории по ОКАТО</w:t>
            </w:r>
          </w:p>
        </w:tc>
        <w:tc>
          <w:tcPr>
            <w:tcW w:w="1883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29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731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7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45296561000</w:t>
            </w:r>
          </w:p>
        </w:tc>
        <w:tc>
          <w:tcPr>
            <w:tcW w:w="188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9725165895</w:t>
            </w:r>
          </w:p>
        </w:tc>
        <w:tc>
          <w:tcPr>
            <w:tcW w:w="298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1247700535697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 состоянию на 31.01.2025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4495" w:type="dxa"/>
            <w:gridSpan w:val="6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Код формы по ОКУД 0420413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Месячная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66" w:type="dxa"/>
            <w:gridSpan w:val="14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I. Информация о величине минимального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  <w:r>
              <w:rPr>
                <w:rFonts w:ascii="Arial" w:hAnsi="Arial"/>
                <w:b/>
              </w:rPr>
              <w:br/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68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5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040" w:type="dxa"/>
            <w:gridSpan w:val="5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455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293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449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93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49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2"/>
          <w:wAfter w:w="28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2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80 000 000</w:t>
            </w:r>
          </w:p>
        </w:tc>
        <w:tc>
          <w:tcPr>
            <w:tcW w:w="293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2 000 000</w:t>
            </w:r>
          </w:p>
        </w:tc>
        <w:tc>
          <w:tcPr>
            <w:tcW w:w="449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05" w:type="dxa"/>
            </w:tcMar>
            <w:vAlign w:val="center"/>
          </w:tcPr>
          <w:p w:rsidR="0014435B" w:rsidRDefault="0093572B">
            <w:pPr>
              <w:spacing w:after="0"/>
              <w:jc w:val="right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b/>
              </w:rPr>
              <w:t xml:space="preserve">Раздел II. Расчет </w:t>
            </w:r>
            <w:proofErr w:type="gramStart"/>
            <w:r>
              <w:rPr>
                <w:rFonts w:ascii="Arial" w:hAnsi="Arial"/>
                <w:b/>
              </w:rPr>
              <w:t>размера собственных средств профессионального участника рынка ценных бумаг</w:t>
            </w:r>
            <w:proofErr w:type="gramEnd"/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82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3871" w:type="dxa"/>
            <w:gridSpan w:val="6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Активы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</w:t>
            </w:r>
            <w:r>
              <w:rPr>
                <w:rFonts w:ascii="Arial" w:hAnsi="Arial"/>
                <w:sz w:val="18"/>
                <w:szCs w:val="18"/>
              </w:rPr>
              <w:t>находящиеся в кассе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427,93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</w:t>
            </w:r>
            <w:r>
              <w:rPr>
                <w:rFonts w:ascii="Arial" w:hAnsi="Arial"/>
                <w:sz w:val="18"/>
                <w:szCs w:val="18"/>
              </w:rPr>
              <w:t>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105 330 000</w:t>
            </w: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</w:t>
            </w:r>
            <w:r>
              <w:rPr>
                <w:rFonts w:ascii="Arial" w:hAnsi="Arial"/>
                <w:sz w:val="18"/>
                <w:szCs w:val="18"/>
              </w:rPr>
              <w:t xml:space="preserve">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 на его счетах в кредитных организациях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Денежные средства профессионального участника, переданные по договору доверительного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управления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</w:t>
            </w:r>
            <w:r>
              <w:rPr>
                <w:rFonts w:ascii="Arial" w:hAnsi="Arial"/>
                <w:sz w:val="18"/>
                <w:szCs w:val="18"/>
              </w:rPr>
              <w:t>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Денежные средства профессионального участника и его клиентов,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Драгоценные металлы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</w:t>
            </w:r>
            <w:r>
              <w:rPr>
                <w:rFonts w:ascii="Arial" w:hAnsi="Arial"/>
                <w:sz w:val="18"/>
                <w:szCs w:val="18"/>
              </w:rPr>
              <w:t>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Ценные бумаги профессионального участника, переданные в обеспечение исполнения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участника, включая индивидуальное и коллективное клиринговое обеспечение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392 832,44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ств пр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>офессионального участника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13 876,69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1092"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1037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93572B">
            <w:pPr>
              <w:spacing w:after="0"/>
            </w:pPr>
            <w:r>
              <w:rPr>
                <w:rFonts w:ascii="Arial" w:hAnsi="Arial"/>
                <w:sz w:val="18"/>
                <w:szCs w:val="18"/>
              </w:rPr>
              <w:t>Обязательства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21.1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некредитной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21.2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</w:trPr>
        <w:tc>
          <w:tcPr>
            <w:tcW w:w="196" w:type="dxa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5688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8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3871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1 810 665,62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22.1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22.2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228 476,85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22.3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22.4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1 582 188,77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14435B">
            <w:pPr>
              <w:spacing w:after="0"/>
              <w:jc w:val="center"/>
            </w:pPr>
          </w:p>
        </w:tc>
      </w:tr>
      <w:tr w:rsidR="0014435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14435B" w:rsidRDefault="0014435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14435B" w:rsidRDefault="0093572B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4435B" w:rsidRDefault="0093572B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106 350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13 876,69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351 698,33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105 737 137,06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2 282 590,64</w:t>
            </w:r>
          </w:p>
        </w:tc>
      </w:tr>
      <w:tr w:rsidR="0093572B" w:rsidTr="009357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dxa"/>
            <w:gridSpan w:val="2"/>
            <w:shd w:val="clear" w:color="auto" w:fill="auto"/>
            <w:tcMar>
              <w:left w:w="105" w:type="dxa"/>
            </w:tcMar>
            <w:vAlign w:val="center"/>
          </w:tcPr>
          <w:p w:rsidR="0093572B" w:rsidRDefault="0093572B">
            <w:pPr>
              <w:spacing w:after="0"/>
              <w:ind w:left="105"/>
            </w:pPr>
          </w:p>
        </w:tc>
        <w:tc>
          <w:tcPr>
            <w:tcW w:w="661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vAlign w:val="center"/>
          </w:tcPr>
          <w:p w:rsidR="0093572B" w:rsidRDefault="0093572B" w:rsidP="004B247C">
            <w:pPr>
              <w:spacing w:after="0"/>
              <w:ind w:left="105"/>
            </w:pPr>
            <w:r>
              <w:rPr>
                <w:rFonts w:ascii="Arial" w:hAnsi="Arial"/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W w:w="2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3572B" w:rsidRDefault="0093572B" w:rsidP="004B247C">
            <w:pPr>
              <w:spacing w:after="0"/>
              <w:jc w:val="center"/>
            </w:pPr>
            <w:r>
              <w:rPr>
                <w:rFonts w:ascii="Arial" w:hAnsi="Arial"/>
                <w:sz w:val="18"/>
                <w:szCs w:val="18"/>
              </w:rPr>
              <w:t>103 454 546,42</w:t>
            </w:r>
          </w:p>
        </w:tc>
      </w:tr>
    </w:tbl>
    <w:p w:rsidR="0014435B" w:rsidRDefault="0014435B">
      <w:bookmarkStart w:id="0" w:name="_GoBack"/>
      <w:bookmarkEnd w:id="0"/>
    </w:p>
    <w:sectPr w:rsidR="0014435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5B"/>
    <w:rsid w:val="0014435B"/>
    <w:rsid w:val="009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911</Words>
  <Characters>5197</Characters>
  <DocSecurity>4</DocSecurity>
  <Lines>43</Lines>
  <Paragraphs>12</Paragraphs>
  <ScaleCrop>false</ScaleCrop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2025-02-28T06:47:00Z</dcterms:created>
  <dcterms:modified xsi:type="dcterms:W3CDTF">2025-02-28T06:47:00Z</dcterms:modified>
</cp:coreProperties>
</file>