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057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1710"/>
        <w:gridCol w:w="1710"/>
        <w:gridCol w:w="840"/>
        <w:gridCol w:w="420"/>
        <w:gridCol w:w="1710"/>
        <w:gridCol w:w="2190"/>
        <w:gridCol w:w="1785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Код территории по ОКАТО</w:t>
            </w:r>
          </w:p>
        </w:tc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45296561000</w:t>
            </w:r>
          </w:p>
        </w:tc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9725165895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1247700535697</w:t>
            </w:r>
          </w:p>
        </w:tc>
      </w:tr>
    </w:tbl>
    <w:tbl>
      <w:tblPr>
        <w:tblStyle w:val="TableStyle1"/>
        <w:tblW w:w="1057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"/>
        <w:gridCol w:w="1475"/>
        <w:gridCol w:w="1475"/>
        <w:gridCol w:w="2918"/>
        <w:gridCol w:w="3045"/>
        <w:gridCol w:w="1463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5706C2">
            <w:pPr>
              <w:jc w:val="center"/>
            </w:pPr>
            <w:r>
              <w:rPr>
                <w:sz w:val="18"/>
                <w:szCs w:val="18"/>
              </w:rPr>
              <w:t>по состоянию на 3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  <w:lang w:val="en-US"/>
              </w:rPr>
              <w:t>4</w:t>
            </w:r>
            <w:r w:rsidR="00F658EE">
              <w:rPr>
                <w:sz w:val="18"/>
                <w:szCs w:val="18"/>
              </w:rPr>
              <w:t>.2026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Общество с ограниченной ответственностью "НЭКСТ"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40" w:type="dxa"/>
            <w:gridSpan w:val="2"/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Код формы по ОКУД 0420413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Месячная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22"/>
              </w:rPr>
              <w:t>Раздел I. Информация о величине минимального размера собственных средств профессионального участника рынка ценных бумаг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Минимальный размер собственных средств</w:t>
            </w:r>
          </w:p>
        </w:tc>
        <w:tc>
          <w:tcPr>
            <w:tcW w:w="3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Значение величины Х</w:t>
            </w:r>
          </w:p>
        </w:tc>
        <w:tc>
          <w:tcPr>
            <w:tcW w:w="35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Значение добавочного коэффициента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80 000 000</w:t>
            </w: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2 000 000</w:t>
            </w:r>
          </w:p>
        </w:tc>
        <w:tc>
          <w:tcPr>
            <w:tcW w:w="3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</w:tr>
    </w:tbl>
    <w:tbl>
      <w:tblPr>
        <w:tblStyle w:val="TableStyle2"/>
        <w:tblW w:w="105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6615"/>
        <w:gridCol w:w="945"/>
        <w:gridCol w:w="2820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80" w:type="dxa"/>
            <w:gridSpan w:val="3"/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22"/>
              </w:rPr>
              <w:t>Раздел II. Расчет размера собственных средств профессионального участника рынка ценных бумаг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Активы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участника, находящиеся в кассе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Pr="005706C2" w:rsidRDefault="005706C2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>143 </w:t>
            </w:r>
            <w:r>
              <w:rPr>
                <w:sz w:val="18"/>
                <w:szCs w:val="18"/>
                <w:lang w:val="en-US"/>
              </w:rPr>
              <w:t>442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221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31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Драгоценные металлы профессионального участника во вкладах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Драгоценные металлы профессионального участника и его клиентов, находящиеся на счетах профессионального участника в кредитных организациях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участника, переданные по договору доверительного управления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и его клиентов, переданные в соответствии с договором об оказании клиринговых услуг для исполнения и (или) обеспечения допущенных к клирингу обязательств профессионального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Драгоценные металлы профессионального участника и его клиентов, переданные в соответствии с договором об оказании клиринговых услуг для исполнения и (или) обеспечения допущенных к клирингу обязательств профессионального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</w:tbl>
    <w:p w:rsidR="00354D7E" w:rsidRDefault="00F658EE">
      <w:r>
        <w:br w:type="page"/>
      </w:r>
    </w:p>
    <w:tbl>
      <w:tblPr>
        <w:tblStyle w:val="TableStyle2"/>
        <w:tblW w:w="105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6615"/>
        <w:gridCol w:w="945"/>
        <w:gridCol w:w="2820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Ценные бумаги профессионального участника и его клиентов, переданные в соответствии с договором об оказании клиринговых услуг для исполнения и (или) обеспечения допущенных к клирингу обязательств профессионального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Pr="005706C2" w:rsidRDefault="005706C2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>8 9</w:t>
            </w:r>
            <w:r>
              <w:rPr>
                <w:sz w:val="18"/>
                <w:szCs w:val="18"/>
                <w:lang w:val="en-US"/>
              </w:rPr>
              <w:t>61</w:t>
            </w:r>
            <w:r>
              <w:rPr>
                <w:sz w:val="18"/>
                <w:szCs w:val="18"/>
              </w:rPr>
              <w:t> 0</w:t>
            </w:r>
            <w:r>
              <w:rPr>
                <w:sz w:val="18"/>
                <w:szCs w:val="18"/>
                <w:lang w:val="en-US"/>
              </w:rPr>
              <w:t>95</w:t>
            </w:r>
            <w:r>
              <w:rPr>
                <w:sz w:val="18"/>
                <w:szCs w:val="18"/>
              </w:rPr>
              <w:t>,3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Дебиторская задолженность управляющей компании биржевого паевого инвестиционного фонда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  <w:trHeight w:val="246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обязательств профессионального участника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 особым уровнем риска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Денежные средства, переданные профессиональным участником по первой части договора </w:t>
            </w:r>
            <w:proofErr w:type="spellStart"/>
            <w:r>
              <w:rPr>
                <w:sz w:val="18"/>
                <w:szCs w:val="18"/>
              </w:rPr>
              <w:t>репо</w:t>
            </w:r>
            <w:proofErr w:type="spellEnd"/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</w:tbl>
    <w:p w:rsidR="00354D7E" w:rsidRDefault="00F658EE">
      <w:r>
        <w:br w:type="page"/>
      </w:r>
    </w:p>
    <w:tbl>
      <w:tblPr>
        <w:tblStyle w:val="TableStyle2"/>
        <w:tblW w:w="105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6615"/>
        <w:gridCol w:w="945"/>
        <w:gridCol w:w="2820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354D7E"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Цифровые финансовые активы, удовлетворяющие требованиям пункта 3.6 Указания Банка № 5099-У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Иные финансовые активы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профессиональным участником к бухгалтерскому учету в качестве основных средств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Обязательства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через прибыль или убыток по усмотрению </w:t>
            </w:r>
            <w:proofErr w:type="spellStart"/>
            <w:r>
              <w:rPr>
                <w:sz w:val="18"/>
                <w:szCs w:val="18"/>
              </w:rPr>
              <w:t>некредитной</w:t>
            </w:r>
            <w:proofErr w:type="spellEnd"/>
            <w:r>
              <w:rPr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Pr="005706C2" w:rsidRDefault="00D51C88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> </w:t>
            </w:r>
            <w:r w:rsidR="005706C2">
              <w:rPr>
                <w:sz w:val="18"/>
                <w:szCs w:val="18"/>
                <w:lang w:val="en-US"/>
              </w:rPr>
              <w:t xml:space="preserve">2 </w:t>
            </w:r>
            <w:r>
              <w:rPr>
                <w:sz w:val="18"/>
                <w:szCs w:val="18"/>
              </w:rPr>
              <w:t>7</w:t>
            </w:r>
            <w:r w:rsidR="005706C2">
              <w:rPr>
                <w:sz w:val="18"/>
                <w:szCs w:val="18"/>
                <w:lang w:val="en-US"/>
              </w:rPr>
              <w:t>90</w:t>
            </w:r>
            <w:r w:rsidR="005706C2">
              <w:rPr>
                <w:sz w:val="18"/>
                <w:szCs w:val="18"/>
              </w:rPr>
              <w:t> </w:t>
            </w:r>
            <w:r w:rsidR="005706C2">
              <w:rPr>
                <w:sz w:val="18"/>
                <w:szCs w:val="18"/>
                <w:lang w:val="en-US"/>
              </w:rPr>
              <w:t>361</w:t>
            </w:r>
            <w:r w:rsidR="005706C2">
              <w:rPr>
                <w:sz w:val="18"/>
                <w:szCs w:val="18"/>
              </w:rPr>
              <w:t>,</w:t>
            </w:r>
            <w:r w:rsidR="005706C2">
              <w:rPr>
                <w:sz w:val="18"/>
                <w:szCs w:val="18"/>
                <w:lang w:val="en-US"/>
              </w:rPr>
              <w:t>44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средства клиентов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Pr="005706C2" w:rsidRDefault="00570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493 79</w:t>
            </w:r>
            <w:r>
              <w:rPr>
                <w:sz w:val="18"/>
                <w:szCs w:val="18"/>
              </w:rPr>
              <w:t>8,14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5706C2">
            <w:pPr>
              <w:jc w:val="center"/>
            </w:pPr>
            <w:r>
              <w:rPr>
                <w:sz w:val="18"/>
                <w:szCs w:val="18"/>
              </w:rPr>
              <w:t>561 358,22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5706C2">
            <w:pPr>
              <w:jc w:val="center"/>
            </w:pPr>
            <w:r>
              <w:rPr>
                <w:sz w:val="18"/>
                <w:szCs w:val="18"/>
              </w:rPr>
              <w:t>1 735 205,08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Обязательства по вознаграждениям работникам по окончании трудовой деятельности, не ограниченным фиксируемыми платежами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Прочие обязательства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Pr="00B05FD7" w:rsidRDefault="00570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1 754 231,68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5706C2">
            <w:pPr>
              <w:jc w:val="center"/>
            </w:pPr>
            <w:r>
              <w:rPr>
                <w:sz w:val="18"/>
                <w:szCs w:val="18"/>
              </w:rPr>
              <w:t>152 403 316,66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Суммарная стоимость обязательств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5706C2">
            <w:pPr>
              <w:jc w:val="center"/>
            </w:pPr>
            <w:r>
              <w:rPr>
                <w:sz w:val="18"/>
                <w:szCs w:val="18"/>
              </w:rPr>
              <w:t>4 544 593,1</w:t>
            </w:r>
            <w:r w:rsidR="00D51C88">
              <w:rPr>
                <w:sz w:val="18"/>
                <w:szCs w:val="18"/>
              </w:rPr>
              <w:t>2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5706C2">
            <w:pPr>
              <w:jc w:val="center"/>
            </w:pPr>
            <w:r>
              <w:rPr>
                <w:sz w:val="18"/>
                <w:szCs w:val="18"/>
              </w:rPr>
              <w:t>147 858 723,54</w:t>
            </w:r>
          </w:p>
        </w:tc>
      </w:tr>
    </w:tbl>
    <w:tbl>
      <w:tblPr>
        <w:tblStyle w:val="TableStyle3"/>
        <w:tblW w:w="1057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1830"/>
        <w:gridCol w:w="2835"/>
        <w:gridCol w:w="1995"/>
        <w:gridCol w:w="3705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7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4"/>
            <w:shd w:val="clear" w:color="auto" w:fill="auto"/>
            <w:vAlign w:val="center"/>
          </w:tcPr>
          <w:tbl>
            <w:tblPr>
              <w:tblStyle w:val="TableStyle4"/>
              <w:tblW w:w="10575" w:type="dxa"/>
              <w:tblInd w:w="57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2460"/>
              <w:gridCol w:w="210"/>
              <w:gridCol w:w="2625"/>
              <w:gridCol w:w="210"/>
              <w:gridCol w:w="855"/>
              <w:gridCol w:w="1695"/>
              <w:gridCol w:w="2100"/>
              <w:gridCol w:w="210"/>
            </w:tblGrid>
            <w:tr w:rsidR="009459BE" w:rsidTr="009459BE">
              <w:trPr>
                <w:cantSplit/>
              </w:trPr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59BE" w:rsidRDefault="009459BE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Фамилия, имя, отчество (при наличии) лица подписавшего отчетность</w:t>
                  </w: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4650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:rsidR="009459BE" w:rsidRDefault="009459BE">
                  <w:pPr>
                    <w:jc w:val="center"/>
                  </w:pP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jc w:val="center"/>
                  </w:pPr>
                </w:p>
              </w:tc>
            </w:tr>
            <w:tr w:rsidR="009459BE" w:rsidTr="009459BE">
              <w:trPr>
                <w:cantSplit/>
              </w:trPr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46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625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4650" w:type="dxa"/>
                  <w:gridSpan w:val="3"/>
                  <w:vAlign w:val="center"/>
                  <w:hideMark/>
                </w:tcPr>
                <w:p w:rsidR="009459BE" w:rsidRDefault="009459BE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jc w:val="center"/>
                  </w:pPr>
                </w:p>
              </w:tc>
            </w:tr>
            <w:tr w:rsidR="009459BE" w:rsidTr="009459BE">
              <w:trPr>
                <w:cantSplit/>
              </w:trPr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46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3690" w:type="dxa"/>
                  <w:gridSpan w:val="3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1695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310" w:type="dxa"/>
                  <w:gridSpan w:val="2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</w:tr>
            <w:tr w:rsidR="009459BE" w:rsidTr="009459BE">
              <w:trPr>
                <w:cantSplit/>
              </w:trPr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59BE" w:rsidRDefault="009459BE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Должность должностного лица, подписавшего отчетность</w:t>
                  </w: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4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59BE" w:rsidRDefault="009459BE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Генеральный директор</w:t>
                  </w: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</w:tr>
            <w:tr w:rsidR="009459BE" w:rsidTr="009459BE">
              <w:trPr>
                <w:cantSplit/>
              </w:trPr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46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625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4650" w:type="dxa"/>
                  <w:gridSpan w:val="3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59BE" w:rsidRDefault="009459BE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</w:tr>
          </w:tbl>
          <w:p w:rsidR="009459BE" w:rsidRDefault="009459BE" w:rsidP="009459BE">
            <w:pPr>
              <w:rPr>
                <w:rFonts w:asciiTheme="minorHAnsi" w:hAnsiTheme="minorHAnsi"/>
                <w:sz w:val="22"/>
              </w:rPr>
            </w:pPr>
          </w:p>
          <w:p w:rsidR="00354D7E" w:rsidRDefault="00354D7E">
            <w:pPr>
              <w:ind w:left="105"/>
            </w:pPr>
          </w:p>
        </w:tc>
      </w:tr>
    </w:tbl>
    <w:p w:rsidR="00354D7E" w:rsidRDefault="00354D7E">
      <w:bookmarkStart w:id="0" w:name="_GoBack"/>
      <w:bookmarkEnd w:id="0"/>
    </w:p>
    <w:sectPr w:rsidR="00354D7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4D7E"/>
    <w:rsid w:val="002A2269"/>
    <w:rsid w:val="00354D7E"/>
    <w:rsid w:val="005706C2"/>
    <w:rsid w:val="009459BE"/>
    <w:rsid w:val="00A661AC"/>
    <w:rsid w:val="00B05FD7"/>
    <w:rsid w:val="00D51C88"/>
    <w:rsid w:val="00F6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5B9D"/>
  <w15:docId w15:val="{171E81E7-E37F-40BE-9270-D81630C9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1068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2026-02-27T08:07:00Z</dcterms:created>
  <dcterms:modified xsi:type="dcterms:W3CDTF">2026-05-29T11:26:00Z</dcterms:modified>
</cp:coreProperties>
</file>