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514" w:rsidRPr="00D05CAB" w:rsidRDefault="00D05CAB" w:rsidP="00D05CAB">
      <w:pPr>
        <w:tabs>
          <w:tab w:val="left" w:pos="6690"/>
        </w:tabs>
        <w:ind w:left="5812"/>
        <w:rPr>
          <w:rFonts w:ascii="Tahoma" w:hAnsi="Tahoma" w:cs="Tahoma"/>
        </w:rPr>
      </w:pPr>
      <w:r w:rsidRPr="00D05CAB">
        <w:rPr>
          <w:rFonts w:ascii="Tahoma" w:hAnsi="Tahoma" w:cs="Tahoma"/>
          <w:noProof/>
        </w:rPr>
        <w:drawing>
          <wp:anchor distT="0" distB="0" distL="114300" distR="114300" simplePos="0" relativeHeight="251658240" behindDoc="0" locked="0" layoutInCell="1" allowOverlap="1">
            <wp:simplePos x="0" y="0"/>
            <wp:positionH relativeFrom="column">
              <wp:posOffset>-7620</wp:posOffset>
            </wp:positionH>
            <wp:positionV relativeFrom="paragraph">
              <wp:posOffset>-19050</wp:posOffset>
            </wp:positionV>
            <wp:extent cx="1600200" cy="638175"/>
            <wp:effectExtent l="0" t="0" r="0"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020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214E6F" w:rsidRPr="00D05CAB">
        <w:rPr>
          <w:rFonts w:ascii="Tahoma" w:hAnsi="Tahoma" w:cs="Tahoma"/>
        </w:rPr>
        <w:t>УТВЕРЖДЕН</w:t>
      </w:r>
      <w:r w:rsidR="008A5DEA" w:rsidRPr="00D05CAB">
        <w:rPr>
          <w:rFonts w:ascii="Tahoma" w:hAnsi="Tahoma" w:cs="Tahoma"/>
        </w:rPr>
        <w:t>Ы</w:t>
      </w:r>
    </w:p>
    <w:p w:rsidR="000C383B" w:rsidRPr="00D05CAB" w:rsidRDefault="003C43C1" w:rsidP="00D05CAB">
      <w:pPr>
        <w:ind w:left="5812"/>
        <w:rPr>
          <w:rFonts w:ascii="Tahoma" w:hAnsi="Tahoma" w:cs="Tahoma"/>
        </w:rPr>
      </w:pPr>
      <w:r>
        <w:rPr>
          <w:rFonts w:ascii="Tahoma" w:hAnsi="Tahoma" w:cs="Tahoma"/>
        </w:rPr>
        <w:t>п</w:t>
      </w:r>
      <w:r w:rsidR="00214E6F" w:rsidRPr="00D05CAB">
        <w:rPr>
          <w:rFonts w:ascii="Tahoma" w:hAnsi="Tahoma" w:cs="Tahoma"/>
        </w:rPr>
        <w:t>риказом</w:t>
      </w:r>
      <w:r w:rsidR="00D05CAB">
        <w:rPr>
          <w:rFonts w:ascii="Tahoma" w:hAnsi="Tahoma" w:cs="Tahoma"/>
        </w:rPr>
        <w:t xml:space="preserve"> </w:t>
      </w:r>
      <w:r w:rsidR="00FA6D2B" w:rsidRPr="00D05CAB">
        <w:rPr>
          <w:rFonts w:ascii="Tahoma" w:hAnsi="Tahoma" w:cs="Tahoma"/>
        </w:rPr>
        <w:t>ООО</w:t>
      </w:r>
      <w:r w:rsidR="000C383B" w:rsidRPr="00D05CAB">
        <w:rPr>
          <w:rFonts w:ascii="Tahoma" w:hAnsi="Tahoma" w:cs="Tahoma"/>
        </w:rPr>
        <w:t xml:space="preserve"> «</w:t>
      </w:r>
      <w:r w:rsidR="00FA6D2B" w:rsidRPr="00D05CAB">
        <w:rPr>
          <w:rFonts w:ascii="Tahoma" w:hAnsi="Tahoma" w:cs="Tahoma"/>
        </w:rPr>
        <w:t>НЭКСТ</w:t>
      </w:r>
      <w:r w:rsidR="000C383B" w:rsidRPr="00D05CAB">
        <w:rPr>
          <w:rFonts w:ascii="Tahoma" w:hAnsi="Tahoma" w:cs="Tahoma"/>
        </w:rPr>
        <w:t>»</w:t>
      </w:r>
      <w:r w:rsidR="00025C95" w:rsidRPr="00D05CAB">
        <w:rPr>
          <w:rFonts w:ascii="Tahoma" w:hAnsi="Tahoma" w:cs="Tahoma"/>
        </w:rPr>
        <w:t xml:space="preserve"> </w:t>
      </w:r>
    </w:p>
    <w:p w:rsidR="003C43C1" w:rsidRDefault="000C383B" w:rsidP="00D05CAB">
      <w:pPr>
        <w:ind w:left="5812"/>
        <w:rPr>
          <w:rFonts w:ascii="Tahoma" w:hAnsi="Tahoma" w:cs="Tahoma"/>
        </w:rPr>
      </w:pPr>
      <w:r w:rsidRPr="00D05CAB">
        <w:rPr>
          <w:rFonts w:ascii="Tahoma" w:hAnsi="Tahoma" w:cs="Tahoma"/>
        </w:rPr>
        <w:t xml:space="preserve">от </w:t>
      </w:r>
      <w:r w:rsidR="003C43C1">
        <w:rPr>
          <w:rFonts w:ascii="Tahoma" w:hAnsi="Tahoma" w:cs="Tahoma"/>
        </w:rPr>
        <w:t>06</w:t>
      </w:r>
      <w:r w:rsidRPr="00D05CAB">
        <w:rPr>
          <w:rFonts w:ascii="Tahoma" w:hAnsi="Tahoma" w:cs="Tahoma"/>
        </w:rPr>
        <w:t xml:space="preserve"> </w:t>
      </w:r>
      <w:r w:rsidR="00FA6D2B" w:rsidRPr="00D05CAB">
        <w:rPr>
          <w:rFonts w:ascii="Tahoma" w:hAnsi="Tahoma" w:cs="Tahoma"/>
        </w:rPr>
        <w:t>декабря</w:t>
      </w:r>
      <w:r w:rsidRPr="00D05CAB">
        <w:rPr>
          <w:rFonts w:ascii="Tahoma" w:hAnsi="Tahoma" w:cs="Tahoma"/>
        </w:rPr>
        <w:t xml:space="preserve"> 2024</w:t>
      </w:r>
      <w:r w:rsidR="00FA6D2B" w:rsidRPr="00D05CAB">
        <w:rPr>
          <w:rFonts w:ascii="Tahoma" w:hAnsi="Tahoma" w:cs="Tahoma"/>
        </w:rPr>
        <w:t> </w:t>
      </w:r>
      <w:r w:rsidRPr="00D05CAB">
        <w:rPr>
          <w:rFonts w:ascii="Tahoma" w:hAnsi="Tahoma" w:cs="Tahoma"/>
        </w:rPr>
        <w:t xml:space="preserve">г. </w:t>
      </w:r>
      <w:r w:rsidR="00025C95" w:rsidRPr="00D05CAB">
        <w:rPr>
          <w:rFonts w:ascii="Tahoma" w:hAnsi="Tahoma" w:cs="Tahoma"/>
        </w:rPr>
        <w:t>№</w:t>
      </w:r>
      <w:r w:rsidR="006F7474" w:rsidRPr="00D05CAB">
        <w:rPr>
          <w:rFonts w:ascii="Tahoma" w:hAnsi="Tahoma" w:cs="Tahoma"/>
        </w:rPr>
        <w:t xml:space="preserve"> </w:t>
      </w:r>
      <w:r w:rsidR="003C43C1">
        <w:rPr>
          <w:rFonts w:ascii="Tahoma" w:hAnsi="Tahoma" w:cs="Tahoma"/>
        </w:rPr>
        <w:t>П24/12</w:t>
      </w:r>
      <w:r w:rsidR="00DA3BA4" w:rsidRPr="00D05CAB">
        <w:rPr>
          <w:rFonts w:ascii="Tahoma" w:hAnsi="Tahoma" w:cs="Tahoma"/>
        </w:rPr>
        <w:t>-</w:t>
      </w:r>
      <w:r w:rsidR="003C43C1">
        <w:rPr>
          <w:rFonts w:ascii="Tahoma" w:hAnsi="Tahoma" w:cs="Tahoma"/>
        </w:rPr>
        <w:t>06-2</w:t>
      </w:r>
    </w:p>
    <w:p w:rsidR="00025C95" w:rsidRPr="00D05CAB" w:rsidRDefault="00025C95" w:rsidP="00D05CAB">
      <w:pPr>
        <w:ind w:left="5812"/>
        <w:rPr>
          <w:rFonts w:ascii="Tahoma" w:hAnsi="Tahoma" w:cs="Tahoma"/>
        </w:rPr>
      </w:pPr>
      <w:r w:rsidRPr="00D05CAB">
        <w:rPr>
          <w:rFonts w:ascii="Tahoma" w:hAnsi="Tahoma" w:cs="Tahoma"/>
        </w:rPr>
        <w:t xml:space="preserve"> </w:t>
      </w:r>
    </w:p>
    <w:p w:rsidR="00BC6DC9" w:rsidRPr="00D05CAB" w:rsidRDefault="003C43C1" w:rsidP="00D05CAB">
      <w:pPr>
        <w:ind w:left="5812"/>
        <w:rPr>
          <w:rFonts w:ascii="Tahoma" w:hAnsi="Tahoma" w:cs="Tahoma"/>
        </w:rPr>
      </w:pPr>
      <w:r>
        <w:rPr>
          <w:rFonts w:ascii="Tahoma" w:hAnsi="Tahoma" w:cs="Tahoma"/>
        </w:rPr>
        <w:t>Д</w:t>
      </w:r>
      <w:r w:rsidR="00BC6DC9" w:rsidRPr="00D05CAB">
        <w:rPr>
          <w:rFonts w:ascii="Tahoma" w:hAnsi="Tahoma" w:cs="Tahoma"/>
        </w:rPr>
        <w:t>ата введения в действие</w:t>
      </w:r>
    </w:p>
    <w:p w:rsidR="00BC6DC9" w:rsidRDefault="003C43C1" w:rsidP="00D05CAB">
      <w:pPr>
        <w:ind w:left="5812"/>
        <w:rPr>
          <w:rFonts w:ascii="Tahoma" w:hAnsi="Tahoma" w:cs="Tahoma"/>
        </w:rPr>
      </w:pPr>
      <w:r>
        <w:rPr>
          <w:rFonts w:ascii="Tahoma" w:hAnsi="Tahoma" w:cs="Tahoma"/>
        </w:rPr>
        <w:t>23 декабря 2024 г.</w:t>
      </w:r>
    </w:p>
    <w:p w:rsidR="00D05CAB" w:rsidRDefault="00D05CAB" w:rsidP="00F16F53">
      <w:pPr>
        <w:ind w:left="5670"/>
        <w:rPr>
          <w:rFonts w:ascii="Tahoma" w:hAnsi="Tahoma" w:cs="Tahoma"/>
        </w:rPr>
      </w:pPr>
    </w:p>
    <w:p w:rsidR="00D05CAB" w:rsidRPr="00D05CAB" w:rsidRDefault="00D05CAB" w:rsidP="00D05CAB">
      <w:pPr>
        <w:rPr>
          <w:rFonts w:ascii="Tahoma" w:hAnsi="Tahoma" w:cs="Tahoma"/>
        </w:rPr>
      </w:pPr>
    </w:p>
    <w:p w:rsidR="00214E6F" w:rsidRPr="00D05CAB" w:rsidRDefault="00214E6F" w:rsidP="00214E6F">
      <w:pPr>
        <w:pStyle w:val="1"/>
        <w:jc w:val="center"/>
        <w:rPr>
          <w:rFonts w:ascii="Tahoma" w:eastAsia="Times New Roman" w:hAnsi="Tahoma" w:cs="Tahoma"/>
          <w:bCs w:val="0"/>
          <w:caps/>
          <w:color w:val="auto"/>
          <w:sz w:val="20"/>
          <w:szCs w:val="20"/>
        </w:rPr>
      </w:pPr>
      <w:r w:rsidRPr="00D05CAB">
        <w:rPr>
          <w:rFonts w:ascii="Tahoma" w:eastAsia="Times New Roman" w:hAnsi="Tahoma" w:cs="Tahoma"/>
          <w:bCs w:val="0"/>
          <w:caps/>
          <w:color w:val="auto"/>
          <w:sz w:val="20"/>
          <w:szCs w:val="20"/>
        </w:rPr>
        <w:t>Тарифы на депозитарные услуги</w:t>
      </w:r>
      <w:r w:rsidR="006F7474" w:rsidRPr="00D05CAB">
        <w:rPr>
          <w:rFonts w:ascii="Tahoma" w:eastAsia="Times New Roman" w:hAnsi="Tahoma" w:cs="Tahoma"/>
          <w:bCs w:val="0"/>
          <w:caps/>
          <w:color w:val="auto"/>
          <w:sz w:val="20"/>
          <w:szCs w:val="20"/>
        </w:rPr>
        <w:t xml:space="preserve"> </w:t>
      </w:r>
      <w:r w:rsidR="00577228">
        <w:rPr>
          <w:rFonts w:ascii="Tahoma" w:eastAsia="Times New Roman" w:hAnsi="Tahoma" w:cs="Tahoma"/>
          <w:bCs w:val="0"/>
          <w:caps/>
          <w:color w:val="auto"/>
          <w:sz w:val="20"/>
          <w:szCs w:val="20"/>
        </w:rPr>
        <w:t>ООО</w:t>
      </w:r>
      <w:r w:rsidR="006F7474" w:rsidRPr="00D05CAB">
        <w:rPr>
          <w:rFonts w:ascii="Tahoma" w:eastAsia="Times New Roman" w:hAnsi="Tahoma" w:cs="Tahoma"/>
          <w:bCs w:val="0"/>
          <w:caps/>
          <w:color w:val="auto"/>
          <w:sz w:val="20"/>
          <w:szCs w:val="20"/>
        </w:rPr>
        <w:t xml:space="preserve"> «</w:t>
      </w:r>
      <w:r w:rsidR="00577228">
        <w:rPr>
          <w:rFonts w:ascii="Tahoma" w:eastAsia="Times New Roman" w:hAnsi="Tahoma" w:cs="Tahoma"/>
          <w:bCs w:val="0"/>
          <w:caps/>
          <w:color w:val="auto"/>
          <w:sz w:val="20"/>
          <w:szCs w:val="20"/>
        </w:rPr>
        <w:t>НЭКСТ</w:t>
      </w:r>
      <w:r w:rsidR="006F7474" w:rsidRPr="00D05CAB">
        <w:rPr>
          <w:rFonts w:ascii="Tahoma" w:eastAsia="Times New Roman" w:hAnsi="Tahoma" w:cs="Tahoma"/>
          <w:bCs w:val="0"/>
          <w:caps/>
          <w:color w:val="auto"/>
          <w:sz w:val="20"/>
          <w:szCs w:val="20"/>
        </w:rPr>
        <w:t>»</w:t>
      </w:r>
    </w:p>
    <w:p w:rsidR="00214E6F" w:rsidRPr="00D05CAB" w:rsidRDefault="00214E6F" w:rsidP="00214E6F">
      <w:pPr>
        <w:rPr>
          <w:rFonts w:ascii="Tahoma" w:hAnsi="Tahoma" w:cs="Tahoma"/>
        </w:rPr>
      </w:pPr>
    </w:p>
    <w:p w:rsidR="00214E6F" w:rsidRPr="00D05CAB" w:rsidRDefault="00214E6F" w:rsidP="00214E6F">
      <w:pPr>
        <w:tabs>
          <w:tab w:val="left" w:pos="426"/>
        </w:tabs>
        <w:jc w:val="center"/>
        <w:rPr>
          <w:rFonts w:ascii="Tahoma" w:hAnsi="Tahoma" w:cs="Tahoma"/>
        </w:rPr>
      </w:pPr>
    </w:p>
    <w:p w:rsidR="00214E6F" w:rsidRPr="00D05CAB" w:rsidRDefault="00214E6F" w:rsidP="00366598">
      <w:pPr>
        <w:widowControl/>
        <w:numPr>
          <w:ilvl w:val="0"/>
          <w:numId w:val="6"/>
        </w:numPr>
        <w:tabs>
          <w:tab w:val="clear" w:pos="720"/>
        </w:tabs>
        <w:ind w:left="567" w:hanging="567"/>
        <w:jc w:val="both"/>
        <w:rPr>
          <w:rFonts w:ascii="Tahoma" w:hAnsi="Tahoma" w:cs="Tahoma"/>
        </w:rPr>
      </w:pPr>
      <w:r w:rsidRPr="00D05CAB">
        <w:rPr>
          <w:rFonts w:ascii="Tahoma" w:hAnsi="Tahoma" w:cs="Tahoma"/>
        </w:rPr>
        <w:t xml:space="preserve">Стоимость депозитарных услуг </w:t>
      </w:r>
      <w:r w:rsidR="00FA6D2B" w:rsidRPr="00D05CAB">
        <w:rPr>
          <w:rFonts w:ascii="Tahoma" w:hAnsi="Tahoma" w:cs="Tahoma"/>
        </w:rPr>
        <w:t>ООО</w:t>
      </w:r>
      <w:r w:rsidRPr="00D05CAB">
        <w:rPr>
          <w:rFonts w:ascii="Tahoma" w:hAnsi="Tahoma" w:cs="Tahoma"/>
        </w:rPr>
        <w:t xml:space="preserve"> «</w:t>
      </w:r>
      <w:r w:rsidR="00FA6D2B" w:rsidRPr="00D05CAB">
        <w:rPr>
          <w:rFonts w:ascii="Tahoma" w:hAnsi="Tahoma" w:cs="Tahoma"/>
        </w:rPr>
        <w:t>НЭКСТ</w:t>
      </w:r>
      <w:r w:rsidRPr="00D05CAB">
        <w:rPr>
          <w:rFonts w:ascii="Tahoma" w:hAnsi="Tahoma" w:cs="Tahoma"/>
        </w:rPr>
        <w:t>» (далее – Депозитарий) (кроме услуг, связанных с осуществлением прав по ценным бумагам), оказываемых в рамках договоров на оказание услуг специализированного депозитария и по иным счетам депо, открытым:</w:t>
      </w:r>
    </w:p>
    <w:p w:rsidR="00214E6F" w:rsidRPr="00D05CAB" w:rsidRDefault="00214E6F" w:rsidP="00366598">
      <w:pPr>
        <w:widowControl/>
        <w:numPr>
          <w:ilvl w:val="0"/>
          <w:numId w:val="16"/>
        </w:numPr>
        <w:tabs>
          <w:tab w:val="clear" w:pos="1710"/>
        </w:tabs>
        <w:ind w:left="993" w:hanging="426"/>
        <w:jc w:val="both"/>
        <w:rPr>
          <w:rFonts w:ascii="Tahoma" w:hAnsi="Tahoma" w:cs="Tahoma"/>
        </w:rPr>
      </w:pPr>
      <w:r w:rsidRPr="00D05CAB">
        <w:rPr>
          <w:rFonts w:ascii="Tahoma" w:hAnsi="Tahoma" w:cs="Tahoma"/>
        </w:rPr>
        <w:t>негосударственным пенсионным фондам и иным лицам, заключившим договор на оказание услуг специализированного депозитария с Депозитарием;</w:t>
      </w:r>
    </w:p>
    <w:p w:rsidR="00214E6F" w:rsidRPr="00D05CAB" w:rsidRDefault="00214E6F" w:rsidP="00366598">
      <w:pPr>
        <w:widowControl/>
        <w:numPr>
          <w:ilvl w:val="0"/>
          <w:numId w:val="16"/>
        </w:numPr>
        <w:tabs>
          <w:tab w:val="clear" w:pos="1710"/>
        </w:tabs>
        <w:ind w:left="993" w:hanging="426"/>
        <w:jc w:val="both"/>
        <w:rPr>
          <w:rFonts w:ascii="Tahoma" w:hAnsi="Tahoma" w:cs="Tahoma"/>
        </w:rPr>
      </w:pPr>
      <w:r w:rsidRPr="00D05CAB">
        <w:rPr>
          <w:rFonts w:ascii="Tahoma" w:hAnsi="Tahoma" w:cs="Tahoma"/>
        </w:rPr>
        <w:t>доверительным управляющим для учета активов, переданных в доверительное управление вышеуказанными негосударственными пенсионными фондами, саморегулируемыми организациями и иными учредителями доверительного управления, заключившим договор на оказание услуг специализированного депозитария с Депозитарием.</w:t>
      </w:r>
    </w:p>
    <w:tbl>
      <w:tblPr>
        <w:tblW w:w="8789" w:type="dxa"/>
        <w:tblInd w:w="675"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620" w:firstRow="1" w:lastRow="0" w:firstColumn="0" w:lastColumn="0" w:noHBand="1" w:noVBand="1"/>
      </w:tblPr>
      <w:tblGrid>
        <w:gridCol w:w="591"/>
        <w:gridCol w:w="5271"/>
        <w:gridCol w:w="2927"/>
      </w:tblGrid>
      <w:tr w:rsidR="009E1DF6" w:rsidRPr="00D05CAB" w:rsidTr="008B2360">
        <w:trPr>
          <w:trHeight w:val="545"/>
        </w:trPr>
        <w:tc>
          <w:tcPr>
            <w:tcW w:w="495" w:type="dxa"/>
            <w:shd w:val="clear" w:color="auto" w:fill="DAEEF3" w:themeFill="accent5" w:themeFillTint="33"/>
            <w:vAlign w:val="center"/>
          </w:tcPr>
          <w:p w:rsidR="009E1DF6" w:rsidRPr="00D05CAB" w:rsidRDefault="00366598" w:rsidP="00FA6D2B">
            <w:pPr>
              <w:widowControl/>
              <w:jc w:val="center"/>
              <w:rPr>
                <w:rFonts w:ascii="Tahoma" w:hAnsi="Tahoma" w:cs="Tahoma"/>
                <w:b/>
                <w:bCs/>
                <w:color w:val="262626"/>
                <w:lang w:eastAsia="en-US"/>
              </w:rPr>
            </w:pPr>
            <w:r w:rsidRPr="00D05CAB">
              <w:rPr>
                <w:rFonts w:ascii="Tahoma" w:hAnsi="Tahoma" w:cs="Tahoma"/>
                <w:b/>
                <w:bCs/>
                <w:color w:val="262626"/>
                <w:lang w:eastAsia="en-US"/>
              </w:rPr>
              <w:t xml:space="preserve">№ </w:t>
            </w:r>
            <w:proofErr w:type="gramStart"/>
            <w:r w:rsidRPr="00D05CAB">
              <w:rPr>
                <w:rFonts w:ascii="Tahoma" w:hAnsi="Tahoma" w:cs="Tahoma"/>
                <w:b/>
                <w:bCs/>
                <w:color w:val="262626"/>
                <w:lang w:eastAsia="en-US"/>
              </w:rPr>
              <w:t>п</w:t>
            </w:r>
            <w:proofErr w:type="gramEnd"/>
            <w:r w:rsidRPr="00D05CAB">
              <w:rPr>
                <w:rFonts w:ascii="Tahoma" w:hAnsi="Tahoma" w:cs="Tahoma"/>
                <w:b/>
                <w:bCs/>
                <w:color w:val="262626"/>
                <w:lang w:eastAsia="en-US"/>
              </w:rPr>
              <w:t>/п</w:t>
            </w:r>
          </w:p>
        </w:tc>
        <w:tc>
          <w:tcPr>
            <w:tcW w:w="5338" w:type="dxa"/>
            <w:shd w:val="clear" w:color="auto" w:fill="DAEEF3" w:themeFill="accent5" w:themeFillTint="33"/>
            <w:vAlign w:val="center"/>
          </w:tcPr>
          <w:p w:rsidR="009E1DF6" w:rsidRPr="00D05CAB" w:rsidRDefault="009E1DF6" w:rsidP="00FA6D2B">
            <w:pPr>
              <w:widowControl/>
              <w:jc w:val="center"/>
              <w:rPr>
                <w:rFonts w:ascii="Tahoma" w:hAnsi="Tahoma" w:cs="Tahoma"/>
                <w:b/>
                <w:bCs/>
                <w:color w:val="262626"/>
                <w:lang w:eastAsia="en-US"/>
              </w:rPr>
            </w:pPr>
            <w:r w:rsidRPr="00D05CAB">
              <w:rPr>
                <w:rFonts w:ascii="Tahoma" w:hAnsi="Tahoma" w:cs="Tahoma"/>
                <w:b/>
                <w:bCs/>
                <w:color w:val="262626"/>
                <w:lang w:eastAsia="en-US"/>
              </w:rPr>
              <w:t>Вид услуги</w:t>
            </w:r>
          </w:p>
        </w:tc>
        <w:tc>
          <w:tcPr>
            <w:tcW w:w="2956" w:type="dxa"/>
            <w:shd w:val="clear" w:color="auto" w:fill="DAEEF3" w:themeFill="accent5" w:themeFillTint="33"/>
            <w:vAlign w:val="center"/>
          </w:tcPr>
          <w:p w:rsidR="009E1DF6" w:rsidRPr="00D05CAB" w:rsidRDefault="009E1DF6" w:rsidP="00FA6D2B">
            <w:pPr>
              <w:widowControl/>
              <w:jc w:val="center"/>
              <w:rPr>
                <w:rFonts w:ascii="Tahoma" w:hAnsi="Tahoma" w:cs="Tahoma"/>
                <w:b/>
                <w:bCs/>
                <w:color w:val="262626"/>
                <w:lang w:eastAsia="en-US"/>
              </w:rPr>
            </w:pPr>
            <w:r w:rsidRPr="00D05CAB">
              <w:rPr>
                <w:rFonts w:ascii="Tahoma" w:hAnsi="Tahoma" w:cs="Tahoma"/>
                <w:b/>
                <w:bCs/>
                <w:color w:val="262626"/>
                <w:lang w:eastAsia="en-US"/>
              </w:rPr>
              <w:t>Стоимость услуги</w:t>
            </w:r>
          </w:p>
        </w:tc>
      </w:tr>
      <w:tr w:rsidR="009E1DF6" w:rsidRPr="00D05CAB" w:rsidTr="008B2360">
        <w:trPr>
          <w:trHeight w:val="60"/>
        </w:trPr>
        <w:tc>
          <w:tcPr>
            <w:tcW w:w="495" w:type="dxa"/>
          </w:tcPr>
          <w:p w:rsidR="009E1DF6" w:rsidRPr="00D05CAB" w:rsidRDefault="009E1DF6" w:rsidP="00FA6D2B">
            <w:pPr>
              <w:jc w:val="both"/>
              <w:rPr>
                <w:rFonts w:ascii="Tahoma" w:hAnsi="Tahoma" w:cs="Tahoma"/>
              </w:rPr>
            </w:pPr>
            <w:r w:rsidRPr="00D05CAB">
              <w:rPr>
                <w:rFonts w:ascii="Tahoma" w:hAnsi="Tahoma" w:cs="Tahoma"/>
              </w:rPr>
              <w:t>1.1</w:t>
            </w:r>
          </w:p>
        </w:tc>
        <w:tc>
          <w:tcPr>
            <w:tcW w:w="5338" w:type="dxa"/>
          </w:tcPr>
          <w:p w:rsidR="009E1DF6" w:rsidRPr="00D05CAB" w:rsidRDefault="009E1DF6" w:rsidP="00FA6D2B">
            <w:pPr>
              <w:rPr>
                <w:rFonts w:ascii="Tahoma" w:hAnsi="Tahoma" w:cs="Tahoma"/>
              </w:rPr>
            </w:pPr>
            <w:r w:rsidRPr="00D05CAB">
              <w:rPr>
                <w:rFonts w:ascii="Tahoma" w:hAnsi="Tahoma" w:cs="Tahoma"/>
              </w:rPr>
              <w:t xml:space="preserve">Хранение и учет ценных бумаг, </w:t>
            </w:r>
          </w:p>
          <w:p w:rsidR="009E1DF6" w:rsidRPr="00D05CAB" w:rsidRDefault="009E1DF6" w:rsidP="00FA6D2B">
            <w:pPr>
              <w:rPr>
                <w:rFonts w:ascii="Tahoma" w:hAnsi="Tahoma" w:cs="Tahoma"/>
              </w:rPr>
            </w:pPr>
            <w:r w:rsidRPr="00D05CAB">
              <w:rPr>
                <w:rFonts w:ascii="Tahoma" w:hAnsi="Tahoma" w:cs="Tahoma"/>
              </w:rPr>
              <w:t>Открытие, закрытие, изменение реквизитов счета депо,</w:t>
            </w:r>
          </w:p>
          <w:p w:rsidR="009E1DF6" w:rsidRPr="00D05CAB" w:rsidRDefault="009E1DF6" w:rsidP="00FA6D2B">
            <w:pPr>
              <w:rPr>
                <w:rFonts w:ascii="Tahoma" w:hAnsi="Tahoma" w:cs="Tahoma"/>
              </w:rPr>
            </w:pPr>
            <w:r w:rsidRPr="00D05CAB">
              <w:rPr>
                <w:rFonts w:ascii="Tahoma" w:hAnsi="Tahoma" w:cs="Tahoma"/>
              </w:rPr>
              <w:t>Открытие торгового раздела в рамках торгового счета депо в расчетном депозитарии,</w:t>
            </w:r>
          </w:p>
          <w:p w:rsidR="009E1DF6" w:rsidRPr="00D05CAB" w:rsidRDefault="009E1DF6" w:rsidP="00FA6D2B">
            <w:pPr>
              <w:rPr>
                <w:rFonts w:ascii="Tahoma" w:hAnsi="Tahoma" w:cs="Tahoma"/>
              </w:rPr>
            </w:pPr>
            <w:r w:rsidRPr="00D05CAB">
              <w:rPr>
                <w:rFonts w:ascii="Tahoma" w:hAnsi="Tahoma" w:cs="Tahoma"/>
              </w:rPr>
              <w:t>Предоставление отчета об исполнении депозитарных операций,</w:t>
            </w:r>
          </w:p>
          <w:p w:rsidR="009E1DF6" w:rsidRPr="00D05CAB" w:rsidRDefault="009E1DF6" w:rsidP="00FA6D2B">
            <w:pPr>
              <w:rPr>
                <w:rFonts w:ascii="Tahoma" w:hAnsi="Tahoma" w:cs="Tahoma"/>
              </w:rPr>
            </w:pPr>
            <w:r w:rsidRPr="00D05CAB">
              <w:rPr>
                <w:rFonts w:ascii="Tahoma" w:hAnsi="Tahoma" w:cs="Tahoma"/>
              </w:rPr>
              <w:t>Выдача выписки о состоянии счета депо по запросу Депонента,</w:t>
            </w:r>
          </w:p>
          <w:p w:rsidR="009E1DF6" w:rsidRPr="00D05CAB" w:rsidRDefault="009E1DF6" w:rsidP="00FA6D2B">
            <w:pPr>
              <w:rPr>
                <w:rFonts w:ascii="Tahoma" w:hAnsi="Tahoma" w:cs="Tahoma"/>
              </w:rPr>
            </w:pPr>
            <w:r w:rsidRPr="00D05CAB">
              <w:rPr>
                <w:rFonts w:ascii="Tahoma" w:hAnsi="Tahoma" w:cs="Tahoma"/>
              </w:rPr>
              <w:t>Выдача отчета об операциях за период по счету депо по запросу Депонента,</w:t>
            </w:r>
          </w:p>
          <w:p w:rsidR="009E1DF6" w:rsidRPr="00D05CAB" w:rsidRDefault="009E1DF6" w:rsidP="00FA6D2B">
            <w:pPr>
              <w:rPr>
                <w:rFonts w:ascii="Tahoma" w:hAnsi="Tahoma" w:cs="Tahoma"/>
              </w:rPr>
            </w:pPr>
            <w:r w:rsidRPr="00D05CAB">
              <w:rPr>
                <w:rFonts w:ascii="Tahoma" w:hAnsi="Tahoma" w:cs="Tahoma"/>
              </w:rPr>
              <w:t>Выдача справки о количестве ценных бумаг на счете депо по запросу Депонента,</w:t>
            </w:r>
          </w:p>
          <w:p w:rsidR="009E1DF6" w:rsidRPr="00D05CAB" w:rsidRDefault="009E1DF6" w:rsidP="00FA6D2B">
            <w:pPr>
              <w:rPr>
                <w:rFonts w:ascii="Tahoma" w:hAnsi="Tahoma" w:cs="Tahoma"/>
              </w:rPr>
            </w:pPr>
            <w:r w:rsidRPr="00D05CAB">
              <w:rPr>
                <w:rFonts w:ascii="Tahoma" w:hAnsi="Tahoma" w:cs="Tahoma"/>
              </w:rPr>
              <w:t xml:space="preserve">Прием ценных бумаг на учет и/или хранение, снятие ценных бумаг с учета и/или хранения, </w:t>
            </w:r>
          </w:p>
          <w:p w:rsidR="009E1DF6" w:rsidRPr="00D05CAB" w:rsidRDefault="009E1DF6" w:rsidP="00FA6D2B">
            <w:pPr>
              <w:rPr>
                <w:rFonts w:ascii="Tahoma" w:hAnsi="Tahoma" w:cs="Tahoma"/>
              </w:rPr>
            </w:pPr>
            <w:r w:rsidRPr="00D05CAB">
              <w:rPr>
                <w:rFonts w:ascii="Tahoma" w:hAnsi="Tahoma" w:cs="Tahoma"/>
              </w:rPr>
              <w:t>Перевод ценных бумаг между счетами депо, открытыми в Депозитарии,</w:t>
            </w:r>
          </w:p>
          <w:p w:rsidR="009E1DF6" w:rsidRPr="00D05CAB" w:rsidRDefault="009E1DF6" w:rsidP="00FA6D2B">
            <w:pPr>
              <w:rPr>
                <w:rFonts w:ascii="Tahoma" w:hAnsi="Tahoma" w:cs="Tahoma"/>
              </w:rPr>
            </w:pPr>
            <w:r w:rsidRPr="00D05CAB">
              <w:rPr>
                <w:rFonts w:ascii="Tahoma" w:hAnsi="Tahoma" w:cs="Tahoma"/>
              </w:rPr>
              <w:t>Смена места хранения (перемещение) ценных бумаг,</w:t>
            </w:r>
          </w:p>
          <w:p w:rsidR="009E1DF6" w:rsidRPr="00D05CAB" w:rsidRDefault="009E1DF6" w:rsidP="00FA6D2B">
            <w:pPr>
              <w:rPr>
                <w:rFonts w:ascii="Tahoma" w:hAnsi="Tahoma" w:cs="Tahoma"/>
              </w:rPr>
            </w:pPr>
            <w:r w:rsidRPr="00D05CAB">
              <w:rPr>
                <w:rFonts w:ascii="Tahoma" w:hAnsi="Tahoma" w:cs="Tahoma"/>
              </w:rPr>
              <w:t>Ограничение распоряжения ценными бумагами, снятие ограничения распоряжения ценными бумагами (по запросу Депонента в случаях, предусмотренных Условиями осуществления депозитарной деятельности),</w:t>
            </w:r>
          </w:p>
          <w:p w:rsidR="009E1DF6" w:rsidRPr="00D05CAB" w:rsidRDefault="009E1DF6" w:rsidP="00FA6D2B">
            <w:pPr>
              <w:rPr>
                <w:rFonts w:ascii="Tahoma" w:hAnsi="Tahoma" w:cs="Tahoma"/>
              </w:rPr>
            </w:pPr>
            <w:r w:rsidRPr="00D05CAB">
              <w:rPr>
                <w:rFonts w:ascii="Tahoma" w:hAnsi="Tahoma" w:cs="Tahoma"/>
              </w:rPr>
              <w:t>Обременение ценных бумаг, прекращение обременения ценных бумаг</w:t>
            </w:r>
          </w:p>
        </w:tc>
        <w:tc>
          <w:tcPr>
            <w:tcW w:w="2956" w:type="dxa"/>
          </w:tcPr>
          <w:p w:rsidR="009E1DF6" w:rsidRPr="00D05CAB" w:rsidRDefault="009E1DF6" w:rsidP="00FA6D2B">
            <w:pPr>
              <w:rPr>
                <w:rFonts w:ascii="Tahoma" w:hAnsi="Tahoma" w:cs="Tahoma"/>
              </w:rPr>
            </w:pPr>
            <w:r w:rsidRPr="00D05CAB">
              <w:rPr>
                <w:rFonts w:ascii="Tahoma" w:hAnsi="Tahoma" w:cs="Tahoma"/>
              </w:rPr>
              <w:t xml:space="preserve">0,078% годовых </w:t>
            </w:r>
          </w:p>
          <w:p w:rsidR="009E1DF6" w:rsidRPr="00D05CAB" w:rsidRDefault="009E1DF6" w:rsidP="00FA6D2B">
            <w:pPr>
              <w:rPr>
                <w:rFonts w:ascii="Tahoma" w:hAnsi="Tahoma" w:cs="Tahoma"/>
                <w:vertAlign w:val="superscript"/>
              </w:rPr>
            </w:pPr>
            <w:r w:rsidRPr="00D05CAB">
              <w:rPr>
                <w:rFonts w:ascii="Tahoma" w:hAnsi="Tahoma" w:cs="Tahoma"/>
              </w:rPr>
              <w:t>от стоимости учитываемых на счете депо ценных бумаг, но не менее 300 руб. в месяц</w:t>
            </w:r>
            <w:r w:rsidRPr="00D05CAB">
              <w:rPr>
                <w:rStyle w:val="af5"/>
                <w:rFonts w:ascii="Tahoma" w:hAnsi="Tahoma" w:cs="Tahoma"/>
              </w:rPr>
              <w:footnoteReference w:id="1"/>
            </w:r>
          </w:p>
        </w:tc>
      </w:tr>
    </w:tbl>
    <w:p w:rsidR="009E1DF6" w:rsidRPr="00D05CAB" w:rsidRDefault="009E1DF6" w:rsidP="00214E6F">
      <w:pPr>
        <w:ind w:left="1350"/>
        <w:jc w:val="both"/>
        <w:rPr>
          <w:rFonts w:ascii="Tahoma" w:hAnsi="Tahoma" w:cs="Tahoma"/>
        </w:rPr>
      </w:pPr>
    </w:p>
    <w:p w:rsidR="00D05CAB" w:rsidRDefault="00D05CAB" w:rsidP="00366598">
      <w:pPr>
        <w:widowControl/>
        <w:tabs>
          <w:tab w:val="left" w:pos="7632"/>
        </w:tabs>
        <w:spacing w:after="200" w:line="276" w:lineRule="auto"/>
        <w:rPr>
          <w:rFonts w:ascii="Tahoma" w:hAnsi="Tahoma" w:cs="Tahoma"/>
        </w:rPr>
      </w:pPr>
      <w:r>
        <w:rPr>
          <w:rFonts w:ascii="Tahoma" w:hAnsi="Tahoma" w:cs="Tahoma"/>
        </w:rPr>
        <w:br w:type="page"/>
      </w:r>
      <w:r w:rsidR="00366598">
        <w:rPr>
          <w:rFonts w:ascii="Tahoma" w:hAnsi="Tahoma" w:cs="Tahoma"/>
        </w:rPr>
        <w:lastRenderedPageBreak/>
        <w:tab/>
      </w:r>
    </w:p>
    <w:p w:rsidR="00214E6F" w:rsidRPr="00D05CAB" w:rsidRDefault="00214E6F" w:rsidP="00366598">
      <w:pPr>
        <w:widowControl/>
        <w:numPr>
          <w:ilvl w:val="0"/>
          <w:numId w:val="6"/>
        </w:numPr>
        <w:tabs>
          <w:tab w:val="clear" w:pos="720"/>
        </w:tabs>
        <w:ind w:left="567" w:hanging="567"/>
        <w:jc w:val="both"/>
        <w:rPr>
          <w:rFonts w:ascii="Tahoma" w:hAnsi="Tahoma" w:cs="Tahoma"/>
        </w:rPr>
      </w:pPr>
      <w:r w:rsidRPr="00D05CAB">
        <w:rPr>
          <w:rFonts w:ascii="Tahoma" w:hAnsi="Tahoma" w:cs="Tahoma"/>
        </w:rPr>
        <w:t>Стоимость депозитарных услуг (кроме услуг, связанных с осуществлением прав по ценным бумагам), оказываемых в</w:t>
      </w:r>
      <w:r w:rsidR="00FA6D2B" w:rsidRPr="00D05CAB">
        <w:rPr>
          <w:rFonts w:ascii="Tahoma" w:hAnsi="Tahoma" w:cs="Tahoma"/>
        </w:rPr>
        <w:t xml:space="preserve"> </w:t>
      </w:r>
      <w:r w:rsidRPr="00D05CAB">
        <w:rPr>
          <w:rFonts w:ascii="Tahoma" w:hAnsi="Tahoma" w:cs="Tahoma"/>
        </w:rPr>
        <w:t>рамках не указанных в п.1 договоров, за исключением договоров транзитного счета депо.</w:t>
      </w:r>
    </w:p>
    <w:tbl>
      <w:tblPr>
        <w:tblW w:w="8789" w:type="dxa"/>
        <w:tblInd w:w="675"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Look w:val="0620" w:firstRow="1" w:lastRow="0" w:firstColumn="0" w:lastColumn="0" w:noHBand="1" w:noVBand="1"/>
      </w:tblPr>
      <w:tblGrid>
        <w:gridCol w:w="567"/>
        <w:gridCol w:w="5265"/>
        <w:gridCol w:w="2957"/>
      </w:tblGrid>
      <w:tr w:rsidR="009E1DF6" w:rsidRPr="00D05CAB" w:rsidTr="008B2360">
        <w:trPr>
          <w:trHeight w:val="545"/>
        </w:trPr>
        <w:tc>
          <w:tcPr>
            <w:tcW w:w="567" w:type="dxa"/>
            <w:shd w:val="clear" w:color="auto" w:fill="DAEEF3" w:themeFill="accent5" w:themeFillTint="33"/>
            <w:vAlign w:val="center"/>
          </w:tcPr>
          <w:p w:rsidR="009E1DF6" w:rsidRPr="00D05CAB" w:rsidRDefault="00984929" w:rsidP="00366598">
            <w:pPr>
              <w:widowControl/>
              <w:ind w:left="-120" w:firstLine="6"/>
              <w:jc w:val="center"/>
              <w:rPr>
                <w:rFonts w:ascii="Tahoma" w:hAnsi="Tahoma" w:cs="Tahoma"/>
                <w:b/>
                <w:bCs/>
                <w:color w:val="262626"/>
                <w:lang w:eastAsia="en-US"/>
              </w:rPr>
            </w:pPr>
            <w:r w:rsidRPr="00D05CAB">
              <w:rPr>
                <w:rFonts w:ascii="Tahoma" w:hAnsi="Tahoma" w:cs="Tahoma"/>
                <w:b/>
                <w:bCs/>
                <w:color w:val="262626"/>
                <w:lang w:eastAsia="en-US"/>
              </w:rPr>
              <w:t>№</w:t>
            </w:r>
            <w:r w:rsidR="00846194" w:rsidRPr="00D05CAB">
              <w:rPr>
                <w:rFonts w:ascii="Tahoma" w:hAnsi="Tahoma" w:cs="Tahoma"/>
                <w:b/>
                <w:bCs/>
                <w:color w:val="262626"/>
                <w:lang w:eastAsia="en-US"/>
              </w:rPr>
              <w:t xml:space="preserve"> </w:t>
            </w:r>
            <w:r w:rsidRPr="00D05CAB">
              <w:rPr>
                <w:rFonts w:ascii="Tahoma" w:hAnsi="Tahoma" w:cs="Tahoma"/>
                <w:b/>
                <w:bCs/>
                <w:color w:val="262626"/>
                <w:lang w:eastAsia="en-US"/>
              </w:rPr>
              <w:t>п/п</w:t>
            </w:r>
          </w:p>
        </w:tc>
        <w:tc>
          <w:tcPr>
            <w:tcW w:w="5265" w:type="dxa"/>
            <w:shd w:val="clear" w:color="auto" w:fill="DAEEF3" w:themeFill="accent5" w:themeFillTint="33"/>
            <w:vAlign w:val="center"/>
          </w:tcPr>
          <w:p w:rsidR="009E1DF6" w:rsidRPr="00D05CAB" w:rsidRDefault="009E1DF6" w:rsidP="00FA6D2B">
            <w:pPr>
              <w:widowControl/>
              <w:jc w:val="center"/>
              <w:rPr>
                <w:rFonts w:ascii="Tahoma" w:hAnsi="Tahoma" w:cs="Tahoma"/>
                <w:b/>
                <w:bCs/>
                <w:color w:val="262626"/>
                <w:lang w:eastAsia="en-US"/>
              </w:rPr>
            </w:pPr>
            <w:r w:rsidRPr="00D05CAB">
              <w:rPr>
                <w:rFonts w:ascii="Tahoma" w:hAnsi="Tahoma" w:cs="Tahoma"/>
                <w:b/>
                <w:bCs/>
                <w:color w:val="262626"/>
                <w:lang w:eastAsia="en-US"/>
              </w:rPr>
              <w:t>Вид услуги</w:t>
            </w:r>
          </w:p>
        </w:tc>
        <w:tc>
          <w:tcPr>
            <w:tcW w:w="2957" w:type="dxa"/>
            <w:shd w:val="clear" w:color="auto" w:fill="DAEEF3" w:themeFill="accent5" w:themeFillTint="33"/>
            <w:vAlign w:val="center"/>
          </w:tcPr>
          <w:p w:rsidR="009E1DF6" w:rsidRPr="00D05CAB" w:rsidRDefault="009E1DF6" w:rsidP="00FA6D2B">
            <w:pPr>
              <w:widowControl/>
              <w:jc w:val="center"/>
              <w:rPr>
                <w:rFonts w:ascii="Tahoma" w:hAnsi="Tahoma" w:cs="Tahoma"/>
                <w:b/>
                <w:bCs/>
                <w:color w:val="262626"/>
                <w:lang w:eastAsia="en-US"/>
              </w:rPr>
            </w:pPr>
            <w:r w:rsidRPr="00D05CAB">
              <w:rPr>
                <w:rFonts w:ascii="Tahoma" w:hAnsi="Tahoma" w:cs="Tahoma"/>
                <w:b/>
                <w:bCs/>
                <w:color w:val="262626"/>
                <w:lang w:eastAsia="en-US"/>
              </w:rPr>
              <w:t>Стоимость услуги</w:t>
            </w:r>
          </w:p>
        </w:tc>
      </w:tr>
      <w:tr w:rsidR="009E1DF6" w:rsidRPr="00D05CAB" w:rsidTr="008B2360">
        <w:trPr>
          <w:trHeight w:val="60"/>
        </w:trPr>
        <w:tc>
          <w:tcPr>
            <w:tcW w:w="567" w:type="dxa"/>
          </w:tcPr>
          <w:p w:rsidR="009E1DF6" w:rsidRPr="00D05CAB" w:rsidRDefault="009E1DF6" w:rsidP="00FA6D2B">
            <w:pPr>
              <w:jc w:val="center"/>
              <w:rPr>
                <w:rFonts w:ascii="Tahoma" w:hAnsi="Tahoma" w:cs="Tahoma"/>
              </w:rPr>
            </w:pPr>
            <w:r w:rsidRPr="00D05CAB">
              <w:rPr>
                <w:rFonts w:ascii="Tahoma" w:hAnsi="Tahoma" w:cs="Tahoma"/>
              </w:rPr>
              <w:t>2.1</w:t>
            </w:r>
          </w:p>
        </w:tc>
        <w:tc>
          <w:tcPr>
            <w:tcW w:w="5265" w:type="dxa"/>
          </w:tcPr>
          <w:p w:rsidR="009E1DF6" w:rsidRPr="00D05CAB" w:rsidRDefault="009E1DF6" w:rsidP="00FA6D2B">
            <w:pPr>
              <w:rPr>
                <w:rFonts w:ascii="Tahoma" w:hAnsi="Tahoma" w:cs="Tahoma"/>
              </w:rPr>
            </w:pPr>
            <w:r w:rsidRPr="00D05CAB">
              <w:rPr>
                <w:rFonts w:ascii="Tahoma" w:hAnsi="Tahoma" w:cs="Tahoma"/>
              </w:rPr>
              <w:t>Хранение и учет ценных бумаг</w:t>
            </w:r>
          </w:p>
          <w:p w:rsidR="009E1DF6" w:rsidRPr="00D05CAB" w:rsidRDefault="009E1DF6" w:rsidP="00FA6D2B">
            <w:pPr>
              <w:rPr>
                <w:rFonts w:ascii="Tahoma" w:hAnsi="Tahoma" w:cs="Tahoma"/>
              </w:rPr>
            </w:pPr>
            <w:r w:rsidRPr="00D05CAB">
              <w:rPr>
                <w:rFonts w:ascii="Tahoma" w:hAnsi="Tahoma" w:cs="Tahoma"/>
              </w:rPr>
              <w:t>Открытие, закрытие, изменение реквизитов счета депо,</w:t>
            </w:r>
          </w:p>
          <w:p w:rsidR="009E1DF6" w:rsidRPr="00D05CAB" w:rsidRDefault="009E1DF6" w:rsidP="00FA6D2B">
            <w:pPr>
              <w:rPr>
                <w:rFonts w:ascii="Tahoma" w:hAnsi="Tahoma" w:cs="Tahoma"/>
              </w:rPr>
            </w:pPr>
            <w:r w:rsidRPr="00D05CAB">
              <w:rPr>
                <w:rFonts w:ascii="Tahoma" w:hAnsi="Tahoma" w:cs="Tahoma"/>
              </w:rPr>
              <w:t>Открытие первого торгового раздела в рамках торгового счета депо Депозитария в расчетном депозитарии,</w:t>
            </w:r>
          </w:p>
          <w:p w:rsidR="009E1DF6" w:rsidRPr="00D05CAB" w:rsidRDefault="009E1DF6" w:rsidP="00FA6D2B">
            <w:pPr>
              <w:rPr>
                <w:rFonts w:ascii="Tahoma" w:hAnsi="Tahoma" w:cs="Tahoma"/>
              </w:rPr>
            </w:pPr>
            <w:r w:rsidRPr="00D05CAB">
              <w:rPr>
                <w:rFonts w:ascii="Tahoma" w:hAnsi="Tahoma" w:cs="Tahoma"/>
              </w:rPr>
              <w:t>Предоставление отчета об исполнении депозитарных операций.</w:t>
            </w:r>
          </w:p>
        </w:tc>
        <w:tc>
          <w:tcPr>
            <w:tcW w:w="2957" w:type="dxa"/>
          </w:tcPr>
          <w:p w:rsidR="009E1DF6" w:rsidRPr="00D05CAB" w:rsidRDefault="009E1DF6" w:rsidP="00FA6D2B">
            <w:pPr>
              <w:rPr>
                <w:rFonts w:ascii="Tahoma" w:hAnsi="Tahoma" w:cs="Tahoma"/>
                <w:vertAlign w:val="superscript"/>
              </w:rPr>
            </w:pPr>
            <w:r w:rsidRPr="00D05CAB">
              <w:rPr>
                <w:rFonts w:ascii="Tahoma" w:hAnsi="Tahoma" w:cs="Tahoma"/>
              </w:rPr>
              <w:t>0,078% годовых от стоимости учитываемых на счете депо ценных бумаг, но не менее 4 500 руб. в месяц</w:t>
            </w:r>
            <w:r w:rsidRPr="00D05CAB">
              <w:rPr>
                <w:rStyle w:val="af5"/>
                <w:rFonts w:ascii="Tahoma" w:hAnsi="Tahoma" w:cs="Tahoma"/>
              </w:rPr>
              <w:footnoteReference w:id="2"/>
            </w:r>
          </w:p>
        </w:tc>
      </w:tr>
      <w:tr w:rsidR="009E1DF6" w:rsidRPr="00D05CAB" w:rsidTr="008B2360">
        <w:trPr>
          <w:trHeight w:val="60"/>
        </w:trPr>
        <w:tc>
          <w:tcPr>
            <w:tcW w:w="567" w:type="dxa"/>
          </w:tcPr>
          <w:p w:rsidR="009E1DF6" w:rsidRPr="00D05CAB" w:rsidRDefault="009E1DF6" w:rsidP="00366598">
            <w:pPr>
              <w:ind w:left="-108"/>
              <w:jc w:val="center"/>
              <w:rPr>
                <w:rFonts w:ascii="Tahoma" w:hAnsi="Tahoma" w:cs="Tahoma"/>
              </w:rPr>
            </w:pPr>
            <w:r w:rsidRPr="00D05CAB">
              <w:rPr>
                <w:rFonts w:ascii="Tahoma" w:hAnsi="Tahoma" w:cs="Tahoma"/>
              </w:rPr>
              <w:t>2.2</w:t>
            </w:r>
          </w:p>
        </w:tc>
        <w:tc>
          <w:tcPr>
            <w:tcW w:w="5265" w:type="dxa"/>
          </w:tcPr>
          <w:p w:rsidR="009E1DF6" w:rsidRPr="00D05CAB" w:rsidRDefault="009E1DF6" w:rsidP="00FA6D2B">
            <w:pPr>
              <w:rPr>
                <w:rFonts w:ascii="Tahoma" w:hAnsi="Tahoma" w:cs="Tahoma"/>
              </w:rPr>
            </w:pPr>
            <w:r w:rsidRPr="00D05CAB">
              <w:rPr>
                <w:rFonts w:ascii="Tahoma" w:hAnsi="Tahoma" w:cs="Tahoma"/>
              </w:rPr>
              <w:t>Открытие второго и последующих торговых разделов в рамках торгового счета депо Депозитария в расчетном депозитарии</w:t>
            </w:r>
          </w:p>
        </w:tc>
        <w:tc>
          <w:tcPr>
            <w:tcW w:w="2957" w:type="dxa"/>
          </w:tcPr>
          <w:p w:rsidR="009E1DF6" w:rsidRPr="00D05CAB" w:rsidRDefault="009E1DF6" w:rsidP="00FA6D2B">
            <w:pPr>
              <w:rPr>
                <w:rFonts w:ascii="Tahoma" w:hAnsi="Tahoma" w:cs="Tahoma"/>
              </w:rPr>
            </w:pPr>
            <w:r w:rsidRPr="00D05CAB">
              <w:rPr>
                <w:rFonts w:ascii="Tahoma" w:hAnsi="Tahoma" w:cs="Tahoma"/>
              </w:rPr>
              <w:t>1 000 руб. за каждый торговый раздел</w:t>
            </w:r>
          </w:p>
        </w:tc>
      </w:tr>
      <w:tr w:rsidR="009E1DF6" w:rsidRPr="00D05CAB" w:rsidTr="008B2360">
        <w:trPr>
          <w:trHeight w:val="60"/>
        </w:trPr>
        <w:tc>
          <w:tcPr>
            <w:tcW w:w="567" w:type="dxa"/>
          </w:tcPr>
          <w:p w:rsidR="009E1DF6" w:rsidRPr="00D05CAB" w:rsidRDefault="009E1DF6" w:rsidP="00FA6D2B">
            <w:pPr>
              <w:jc w:val="center"/>
              <w:rPr>
                <w:rFonts w:ascii="Tahoma" w:hAnsi="Tahoma" w:cs="Tahoma"/>
              </w:rPr>
            </w:pPr>
            <w:r w:rsidRPr="00D05CAB">
              <w:rPr>
                <w:rFonts w:ascii="Tahoma" w:hAnsi="Tahoma" w:cs="Tahoma"/>
              </w:rPr>
              <w:t>2.3</w:t>
            </w:r>
          </w:p>
        </w:tc>
        <w:tc>
          <w:tcPr>
            <w:tcW w:w="5265" w:type="dxa"/>
          </w:tcPr>
          <w:p w:rsidR="009E1DF6" w:rsidRPr="00D05CAB" w:rsidRDefault="009E1DF6" w:rsidP="00FA6D2B">
            <w:pPr>
              <w:rPr>
                <w:rFonts w:ascii="Tahoma" w:hAnsi="Tahoma" w:cs="Tahoma"/>
              </w:rPr>
            </w:pPr>
            <w:r w:rsidRPr="00D05CAB">
              <w:rPr>
                <w:rFonts w:ascii="Tahoma" w:hAnsi="Tahoma" w:cs="Tahoma"/>
              </w:rPr>
              <w:t>Прием ценных бумаг на учет и/или хранение (снятие ценных бумаг с учета и/или хранения) на торговый счет депо (с торгового счета депо) Депонента по результатам клиринга на основании отчета об операциях по торговому счету Депозитария, полученного от расчетного депозитария</w:t>
            </w:r>
          </w:p>
        </w:tc>
        <w:tc>
          <w:tcPr>
            <w:tcW w:w="2957" w:type="dxa"/>
          </w:tcPr>
          <w:p w:rsidR="009E1DF6" w:rsidRPr="00D05CAB" w:rsidRDefault="009E1DF6" w:rsidP="00FA6D2B">
            <w:pPr>
              <w:rPr>
                <w:rFonts w:ascii="Tahoma" w:hAnsi="Tahoma" w:cs="Tahoma"/>
              </w:rPr>
            </w:pPr>
            <w:r w:rsidRPr="00D05CAB">
              <w:rPr>
                <w:rFonts w:ascii="Tahoma" w:hAnsi="Tahoma" w:cs="Tahoma"/>
              </w:rPr>
              <w:t>50 руб. за каждую позицию в отчете расчетного депозитария</w:t>
            </w:r>
          </w:p>
        </w:tc>
      </w:tr>
      <w:tr w:rsidR="009E1DF6" w:rsidRPr="00D05CAB" w:rsidTr="008B2360">
        <w:trPr>
          <w:trHeight w:val="60"/>
        </w:trPr>
        <w:tc>
          <w:tcPr>
            <w:tcW w:w="567" w:type="dxa"/>
          </w:tcPr>
          <w:p w:rsidR="009E1DF6" w:rsidRPr="00D05CAB" w:rsidRDefault="009E1DF6" w:rsidP="00FA6D2B">
            <w:pPr>
              <w:jc w:val="center"/>
              <w:rPr>
                <w:rFonts w:ascii="Tahoma" w:hAnsi="Tahoma" w:cs="Tahoma"/>
              </w:rPr>
            </w:pPr>
            <w:r w:rsidRPr="00D05CAB">
              <w:rPr>
                <w:rFonts w:ascii="Tahoma" w:hAnsi="Tahoma" w:cs="Tahoma"/>
              </w:rPr>
              <w:t>2.4</w:t>
            </w:r>
          </w:p>
        </w:tc>
        <w:tc>
          <w:tcPr>
            <w:tcW w:w="5265" w:type="dxa"/>
          </w:tcPr>
          <w:p w:rsidR="009E1DF6" w:rsidRPr="00D05CAB" w:rsidRDefault="009E1DF6" w:rsidP="00FA6D2B">
            <w:pPr>
              <w:rPr>
                <w:rFonts w:ascii="Tahoma" w:hAnsi="Tahoma" w:cs="Tahoma"/>
              </w:rPr>
            </w:pPr>
            <w:r w:rsidRPr="00D05CAB">
              <w:rPr>
                <w:rFonts w:ascii="Tahoma" w:hAnsi="Tahoma" w:cs="Tahoma"/>
              </w:rPr>
              <w:t>Прием ценных бумаг на учет и/или хранение, за исключением случая, указанного в п.2.3</w:t>
            </w:r>
          </w:p>
        </w:tc>
        <w:tc>
          <w:tcPr>
            <w:tcW w:w="2957" w:type="dxa"/>
          </w:tcPr>
          <w:p w:rsidR="009E1DF6" w:rsidRPr="00D05CAB" w:rsidRDefault="009E1DF6" w:rsidP="00FA6D2B">
            <w:pPr>
              <w:rPr>
                <w:rFonts w:ascii="Tahoma" w:hAnsi="Tahoma" w:cs="Tahoma"/>
              </w:rPr>
            </w:pPr>
            <w:r w:rsidRPr="00D05CAB">
              <w:rPr>
                <w:rFonts w:ascii="Tahoma" w:hAnsi="Tahoma" w:cs="Tahoma"/>
              </w:rPr>
              <w:t>150 руб. за позицию в поручении</w:t>
            </w:r>
          </w:p>
        </w:tc>
      </w:tr>
      <w:tr w:rsidR="009E1DF6" w:rsidRPr="00D05CAB" w:rsidTr="008B2360">
        <w:trPr>
          <w:trHeight w:val="60"/>
        </w:trPr>
        <w:tc>
          <w:tcPr>
            <w:tcW w:w="567" w:type="dxa"/>
          </w:tcPr>
          <w:p w:rsidR="009E1DF6" w:rsidRPr="00D05CAB" w:rsidRDefault="009E1DF6" w:rsidP="00FA6D2B">
            <w:pPr>
              <w:jc w:val="center"/>
              <w:rPr>
                <w:rFonts w:ascii="Tahoma" w:hAnsi="Tahoma" w:cs="Tahoma"/>
              </w:rPr>
            </w:pPr>
            <w:r w:rsidRPr="00D05CAB">
              <w:rPr>
                <w:rFonts w:ascii="Tahoma" w:hAnsi="Tahoma" w:cs="Tahoma"/>
              </w:rPr>
              <w:t>2.</w:t>
            </w:r>
            <w:r w:rsidRPr="00D05CAB">
              <w:rPr>
                <w:rFonts w:ascii="Tahoma" w:hAnsi="Tahoma" w:cs="Tahoma"/>
                <w:lang w:val="en-US"/>
              </w:rPr>
              <w:t>5</w:t>
            </w:r>
          </w:p>
        </w:tc>
        <w:tc>
          <w:tcPr>
            <w:tcW w:w="5265" w:type="dxa"/>
          </w:tcPr>
          <w:p w:rsidR="009E1DF6" w:rsidRPr="00D05CAB" w:rsidRDefault="009E1DF6" w:rsidP="00FA6D2B">
            <w:pPr>
              <w:rPr>
                <w:rFonts w:ascii="Tahoma" w:hAnsi="Tahoma" w:cs="Tahoma"/>
              </w:rPr>
            </w:pPr>
            <w:r w:rsidRPr="00D05CAB">
              <w:rPr>
                <w:rFonts w:ascii="Tahoma" w:hAnsi="Tahoma" w:cs="Tahoma"/>
              </w:rPr>
              <w:t xml:space="preserve">Снятие ценных бумаг с учета и/или хранения, за исключением случая, указанного в п.2.3 </w:t>
            </w:r>
          </w:p>
        </w:tc>
        <w:tc>
          <w:tcPr>
            <w:tcW w:w="2957" w:type="dxa"/>
          </w:tcPr>
          <w:p w:rsidR="009E1DF6" w:rsidRPr="00D05CAB" w:rsidRDefault="009E1DF6" w:rsidP="00FA6D2B">
            <w:pPr>
              <w:rPr>
                <w:rFonts w:ascii="Tahoma" w:hAnsi="Tahoma" w:cs="Tahoma"/>
              </w:rPr>
            </w:pPr>
            <w:r w:rsidRPr="00D05CAB">
              <w:rPr>
                <w:rFonts w:ascii="Tahoma" w:hAnsi="Tahoma" w:cs="Tahoma"/>
              </w:rPr>
              <w:t>300руб. за позицию в поручении</w:t>
            </w:r>
          </w:p>
        </w:tc>
      </w:tr>
      <w:tr w:rsidR="009E1DF6" w:rsidRPr="00D05CAB" w:rsidTr="008B2360">
        <w:trPr>
          <w:trHeight w:val="60"/>
        </w:trPr>
        <w:tc>
          <w:tcPr>
            <w:tcW w:w="567" w:type="dxa"/>
          </w:tcPr>
          <w:p w:rsidR="009E1DF6" w:rsidRPr="00D05CAB" w:rsidRDefault="009E1DF6" w:rsidP="00FA6D2B">
            <w:pPr>
              <w:jc w:val="center"/>
              <w:rPr>
                <w:rFonts w:ascii="Tahoma" w:hAnsi="Tahoma" w:cs="Tahoma"/>
              </w:rPr>
            </w:pPr>
            <w:r w:rsidRPr="00D05CAB">
              <w:rPr>
                <w:rFonts w:ascii="Tahoma" w:hAnsi="Tahoma" w:cs="Tahoma"/>
              </w:rPr>
              <w:t>2.</w:t>
            </w:r>
            <w:r w:rsidRPr="00D05CAB">
              <w:rPr>
                <w:rFonts w:ascii="Tahoma" w:hAnsi="Tahoma" w:cs="Tahoma"/>
                <w:lang w:val="en-US"/>
              </w:rPr>
              <w:t>6</w:t>
            </w:r>
          </w:p>
        </w:tc>
        <w:tc>
          <w:tcPr>
            <w:tcW w:w="5265" w:type="dxa"/>
          </w:tcPr>
          <w:p w:rsidR="009E1DF6" w:rsidRPr="00D05CAB" w:rsidRDefault="009E1DF6" w:rsidP="00FA6D2B">
            <w:pPr>
              <w:rPr>
                <w:rFonts w:ascii="Tahoma" w:hAnsi="Tahoma" w:cs="Tahoma"/>
              </w:rPr>
            </w:pPr>
            <w:r w:rsidRPr="00D05CAB">
              <w:rPr>
                <w:rFonts w:ascii="Tahoma" w:hAnsi="Tahoma" w:cs="Tahoma"/>
              </w:rPr>
              <w:t>Ограничение распоряжения ценными бумагами, снятие ограничения распоряжения ценными бумагами (по запросу Депонента в случаях, предусмотренных Условиями осуществления депозитарной деятельности),</w:t>
            </w:r>
          </w:p>
          <w:p w:rsidR="009E1DF6" w:rsidRPr="00D05CAB" w:rsidRDefault="009E1DF6" w:rsidP="00FA6D2B">
            <w:pPr>
              <w:rPr>
                <w:rFonts w:ascii="Tahoma" w:hAnsi="Tahoma" w:cs="Tahoma"/>
              </w:rPr>
            </w:pPr>
            <w:r w:rsidRPr="00D05CAB">
              <w:rPr>
                <w:rFonts w:ascii="Tahoma" w:hAnsi="Tahoma" w:cs="Tahoma"/>
              </w:rPr>
              <w:t xml:space="preserve">Обременение ценных бумаг, прекращение обременения ценных бумаг </w:t>
            </w:r>
          </w:p>
        </w:tc>
        <w:tc>
          <w:tcPr>
            <w:tcW w:w="2957" w:type="dxa"/>
          </w:tcPr>
          <w:p w:rsidR="009E1DF6" w:rsidRPr="00D05CAB" w:rsidRDefault="009E1DF6" w:rsidP="00FA6D2B">
            <w:pPr>
              <w:rPr>
                <w:rFonts w:ascii="Tahoma" w:hAnsi="Tahoma" w:cs="Tahoma"/>
              </w:rPr>
            </w:pPr>
            <w:r w:rsidRPr="00D05CAB">
              <w:rPr>
                <w:rFonts w:ascii="Tahoma" w:hAnsi="Tahoma" w:cs="Tahoma"/>
              </w:rPr>
              <w:t xml:space="preserve">300 руб. </w:t>
            </w:r>
          </w:p>
        </w:tc>
      </w:tr>
      <w:tr w:rsidR="009E1DF6" w:rsidRPr="00D05CAB" w:rsidTr="008B2360">
        <w:trPr>
          <w:trHeight w:val="60"/>
        </w:trPr>
        <w:tc>
          <w:tcPr>
            <w:tcW w:w="567" w:type="dxa"/>
          </w:tcPr>
          <w:p w:rsidR="009E1DF6" w:rsidRPr="00D05CAB" w:rsidRDefault="009E1DF6" w:rsidP="00FA6D2B">
            <w:pPr>
              <w:jc w:val="center"/>
              <w:rPr>
                <w:rFonts w:ascii="Tahoma" w:hAnsi="Tahoma" w:cs="Tahoma"/>
              </w:rPr>
            </w:pPr>
            <w:r w:rsidRPr="00D05CAB">
              <w:rPr>
                <w:rFonts w:ascii="Tahoma" w:hAnsi="Tahoma" w:cs="Tahoma"/>
              </w:rPr>
              <w:t>2.</w:t>
            </w:r>
            <w:r w:rsidRPr="00D05CAB">
              <w:rPr>
                <w:rFonts w:ascii="Tahoma" w:hAnsi="Tahoma" w:cs="Tahoma"/>
                <w:lang w:val="en-US"/>
              </w:rPr>
              <w:t>7</w:t>
            </w:r>
          </w:p>
        </w:tc>
        <w:tc>
          <w:tcPr>
            <w:tcW w:w="5265" w:type="dxa"/>
          </w:tcPr>
          <w:p w:rsidR="009E1DF6" w:rsidRPr="00D05CAB" w:rsidRDefault="009E1DF6" w:rsidP="00FA6D2B">
            <w:pPr>
              <w:rPr>
                <w:rFonts w:ascii="Tahoma" w:hAnsi="Tahoma" w:cs="Tahoma"/>
              </w:rPr>
            </w:pPr>
            <w:r w:rsidRPr="00D05CAB">
              <w:rPr>
                <w:rFonts w:ascii="Tahoma" w:hAnsi="Tahoma" w:cs="Tahoma"/>
              </w:rPr>
              <w:t xml:space="preserve">Перевод ценных бумаг между счетами депо, открытыми в Депозитарии </w:t>
            </w:r>
          </w:p>
        </w:tc>
        <w:tc>
          <w:tcPr>
            <w:tcW w:w="2957" w:type="dxa"/>
          </w:tcPr>
          <w:p w:rsidR="009E1DF6" w:rsidRPr="00D05CAB" w:rsidRDefault="009E1DF6" w:rsidP="00FA6D2B">
            <w:pPr>
              <w:rPr>
                <w:rFonts w:ascii="Tahoma" w:hAnsi="Tahoma" w:cs="Tahoma"/>
              </w:rPr>
            </w:pPr>
            <w:r w:rsidRPr="00D05CAB">
              <w:rPr>
                <w:rFonts w:ascii="Tahoma" w:hAnsi="Tahoma" w:cs="Tahoma"/>
              </w:rPr>
              <w:t xml:space="preserve">100 руб., по каждому счету депо, участвующему в переводе </w:t>
            </w:r>
          </w:p>
        </w:tc>
      </w:tr>
      <w:tr w:rsidR="009E1DF6" w:rsidRPr="00D05CAB" w:rsidTr="008B2360">
        <w:trPr>
          <w:trHeight w:val="60"/>
        </w:trPr>
        <w:tc>
          <w:tcPr>
            <w:tcW w:w="567" w:type="dxa"/>
          </w:tcPr>
          <w:p w:rsidR="009E1DF6" w:rsidRPr="00D05CAB" w:rsidRDefault="009E1DF6" w:rsidP="00FA6D2B">
            <w:pPr>
              <w:jc w:val="center"/>
              <w:rPr>
                <w:rFonts w:ascii="Tahoma" w:hAnsi="Tahoma" w:cs="Tahoma"/>
              </w:rPr>
            </w:pPr>
            <w:r w:rsidRPr="00D05CAB">
              <w:rPr>
                <w:rFonts w:ascii="Tahoma" w:hAnsi="Tahoma" w:cs="Tahoma"/>
              </w:rPr>
              <w:t>2.</w:t>
            </w:r>
            <w:r w:rsidRPr="00D05CAB">
              <w:rPr>
                <w:rFonts w:ascii="Tahoma" w:hAnsi="Tahoma" w:cs="Tahoma"/>
                <w:lang w:val="en-US"/>
              </w:rPr>
              <w:t>8</w:t>
            </w:r>
          </w:p>
        </w:tc>
        <w:tc>
          <w:tcPr>
            <w:tcW w:w="5265" w:type="dxa"/>
          </w:tcPr>
          <w:p w:rsidR="009E1DF6" w:rsidRPr="00D05CAB" w:rsidRDefault="009E1DF6" w:rsidP="00FA6D2B">
            <w:pPr>
              <w:rPr>
                <w:rFonts w:ascii="Tahoma" w:hAnsi="Tahoma" w:cs="Tahoma"/>
              </w:rPr>
            </w:pPr>
            <w:r w:rsidRPr="00D05CAB">
              <w:rPr>
                <w:rFonts w:ascii="Tahoma" w:hAnsi="Tahoma" w:cs="Tahoma"/>
              </w:rPr>
              <w:t>Перемещение ценных бумаг (изменение места хранения)</w:t>
            </w:r>
          </w:p>
        </w:tc>
        <w:tc>
          <w:tcPr>
            <w:tcW w:w="2957" w:type="dxa"/>
          </w:tcPr>
          <w:p w:rsidR="009E1DF6" w:rsidRPr="00D05CAB" w:rsidRDefault="009E1DF6" w:rsidP="00FA6D2B">
            <w:pPr>
              <w:rPr>
                <w:rFonts w:ascii="Tahoma" w:hAnsi="Tahoma" w:cs="Tahoma"/>
              </w:rPr>
            </w:pPr>
            <w:r w:rsidRPr="00D05CAB">
              <w:rPr>
                <w:rFonts w:ascii="Tahoma" w:hAnsi="Tahoma" w:cs="Tahoma"/>
              </w:rPr>
              <w:t xml:space="preserve">450 руб. </w:t>
            </w:r>
          </w:p>
        </w:tc>
      </w:tr>
      <w:tr w:rsidR="009E1DF6" w:rsidRPr="00D05CAB" w:rsidTr="008B2360">
        <w:trPr>
          <w:trHeight w:val="60"/>
        </w:trPr>
        <w:tc>
          <w:tcPr>
            <w:tcW w:w="567" w:type="dxa"/>
          </w:tcPr>
          <w:p w:rsidR="009E1DF6" w:rsidRPr="00D05CAB" w:rsidRDefault="009E1DF6" w:rsidP="00FA6D2B">
            <w:pPr>
              <w:jc w:val="center"/>
              <w:rPr>
                <w:rFonts w:ascii="Tahoma" w:hAnsi="Tahoma" w:cs="Tahoma"/>
              </w:rPr>
            </w:pPr>
            <w:r w:rsidRPr="00D05CAB">
              <w:rPr>
                <w:rFonts w:ascii="Tahoma" w:hAnsi="Tahoma" w:cs="Tahoma"/>
              </w:rPr>
              <w:t>2.</w:t>
            </w:r>
            <w:r w:rsidRPr="00D05CAB">
              <w:rPr>
                <w:rFonts w:ascii="Tahoma" w:hAnsi="Tahoma" w:cs="Tahoma"/>
                <w:lang w:val="en-US"/>
              </w:rPr>
              <w:t>9</w:t>
            </w:r>
          </w:p>
        </w:tc>
        <w:tc>
          <w:tcPr>
            <w:tcW w:w="5265" w:type="dxa"/>
          </w:tcPr>
          <w:p w:rsidR="009E1DF6" w:rsidRPr="00D05CAB" w:rsidRDefault="009E1DF6" w:rsidP="00FA6D2B">
            <w:pPr>
              <w:rPr>
                <w:rFonts w:ascii="Tahoma" w:hAnsi="Tahoma" w:cs="Tahoma"/>
              </w:rPr>
            </w:pPr>
            <w:r w:rsidRPr="00D05CAB">
              <w:rPr>
                <w:rFonts w:ascii="Tahoma" w:hAnsi="Tahoma" w:cs="Tahoma"/>
              </w:rPr>
              <w:t>Выдача выписки о состоянии счета депо по запросу Депонента</w:t>
            </w:r>
          </w:p>
        </w:tc>
        <w:tc>
          <w:tcPr>
            <w:tcW w:w="2957" w:type="dxa"/>
          </w:tcPr>
          <w:p w:rsidR="009E1DF6" w:rsidRPr="00D05CAB" w:rsidRDefault="009E1DF6" w:rsidP="00FA6D2B">
            <w:pPr>
              <w:rPr>
                <w:rFonts w:ascii="Tahoma" w:hAnsi="Tahoma" w:cs="Tahoma"/>
              </w:rPr>
            </w:pPr>
            <w:r w:rsidRPr="00D05CAB">
              <w:rPr>
                <w:rFonts w:ascii="Tahoma" w:hAnsi="Tahoma" w:cs="Tahoma"/>
              </w:rPr>
              <w:t>100 руб.</w:t>
            </w:r>
          </w:p>
        </w:tc>
      </w:tr>
      <w:tr w:rsidR="009E1DF6" w:rsidRPr="00D05CAB" w:rsidTr="008B2360">
        <w:trPr>
          <w:trHeight w:val="60"/>
        </w:trPr>
        <w:tc>
          <w:tcPr>
            <w:tcW w:w="567" w:type="dxa"/>
          </w:tcPr>
          <w:p w:rsidR="009E1DF6" w:rsidRPr="00D05CAB" w:rsidRDefault="009E1DF6" w:rsidP="00FA6D2B">
            <w:pPr>
              <w:ind w:left="-108" w:right="-108"/>
              <w:jc w:val="center"/>
              <w:rPr>
                <w:rFonts w:ascii="Tahoma" w:hAnsi="Tahoma" w:cs="Tahoma"/>
              </w:rPr>
            </w:pPr>
            <w:r w:rsidRPr="00D05CAB">
              <w:rPr>
                <w:rFonts w:ascii="Tahoma" w:hAnsi="Tahoma" w:cs="Tahoma"/>
              </w:rPr>
              <w:t>2.</w:t>
            </w:r>
            <w:r w:rsidRPr="00D05CAB">
              <w:rPr>
                <w:rFonts w:ascii="Tahoma" w:hAnsi="Tahoma" w:cs="Tahoma"/>
                <w:lang w:val="en-US"/>
              </w:rPr>
              <w:t>10</w:t>
            </w:r>
          </w:p>
        </w:tc>
        <w:tc>
          <w:tcPr>
            <w:tcW w:w="5265" w:type="dxa"/>
          </w:tcPr>
          <w:p w:rsidR="009E1DF6" w:rsidRPr="00D05CAB" w:rsidRDefault="009E1DF6" w:rsidP="00FA6D2B">
            <w:pPr>
              <w:rPr>
                <w:rFonts w:ascii="Tahoma" w:hAnsi="Tahoma" w:cs="Tahoma"/>
              </w:rPr>
            </w:pPr>
            <w:r w:rsidRPr="00D05CAB">
              <w:rPr>
                <w:rFonts w:ascii="Tahoma" w:hAnsi="Tahoma" w:cs="Tahoma"/>
              </w:rPr>
              <w:t>Выдача отчета об операциях с ценными бумагами по счету депо за период по запросу Депонента</w:t>
            </w:r>
          </w:p>
        </w:tc>
        <w:tc>
          <w:tcPr>
            <w:tcW w:w="2957" w:type="dxa"/>
          </w:tcPr>
          <w:p w:rsidR="009E1DF6" w:rsidRPr="00D05CAB" w:rsidRDefault="009E1DF6" w:rsidP="00FA6D2B">
            <w:pPr>
              <w:rPr>
                <w:rFonts w:ascii="Tahoma" w:hAnsi="Tahoma" w:cs="Tahoma"/>
              </w:rPr>
            </w:pPr>
            <w:r w:rsidRPr="00D05CAB">
              <w:rPr>
                <w:rFonts w:ascii="Tahoma" w:hAnsi="Tahoma" w:cs="Tahoma"/>
              </w:rPr>
              <w:t>300 руб.</w:t>
            </w:r>
          </w:p>
        </w:tc>
      </w:tr>
      <w:tr w:rsidR="009E1DF6" w:rsidRPr="00D05CAB" w:rsidTr="008B2360">
        <w:trPr>
          <w:trHeight w:val="60"/>
        </w:trPr>
        <w:tc>
          <w:tcPr>
            <w:tcW w:w="567" w:type="dxa"/>
          </w:tcPr>
          <w:p w:rsidR="009E1DF6" w:rsidRPr="00D05CAB" w:rsidRDefault="009E1DF6" w:rsidP="00FA6D2B">
            <w:pPr>
              <w:ind w:left="-108" w:right="-108"/>
              <w:jc w:val="center"/>
              <w:rPr>
                <w:rFonts w:ascii="Tahoma" w:hAnsi="Tahoma" w:cs="Tahoma"/>
              </w:rPr>
            </w:pPr>
            <w:r w:rsidRPr="00D05CAB">
              <w:rPr>
                <w:rFonts w:ascii="Tahoma" w:hAnsi="Tahoma" w:cs="Tahoma"/>
              </w:rPr>
              <w:t>2.11</w:t>
            </w:r>
          </w:p>
        </w:tc>
        <w:tc>
          <w:tcPr>
            <w:tcW w:w="5265" w:type="dxa"/>
          </w:tcPr>
          <w:p w:rsidR="009E1DF6" w:rsidRPr="00D05CAB" w:rsidRDefault="009E1DF6" w:rsidP="00FA6D2B">
            <w:pPr>
              <w:rPr>
                <w:rFonts w:ascii="Tahoma" w:hAnsi="Tahoma" w:cs="Tahoma"/>
              </w:rPr>
            </w:pPr>
            <w:r w:rsidRPr="00D05CAB">
              <w:rPr>
                <w:rFonts w:ascii="Tahoma" w:hAnsi="Tahoma" w:cs="Tahoma"/>
              </w:rPr>
              <w:t>Выдача справки о количестве ценных бумаг на счете депо по запросу Депонента</w:t>
            </w:r>
          </w:p>
        </w:tc>
        <w:tc>
          <w:tcPr>
            <w:tcW w:w="2957" w:type="dxa"/>
          </w:tcPr>
          <w:p w:rsidR="009E1DF6" w:rsidRPr="00D05CAB" w:rsidRDefault="009E1DF6" w:rsidP="00FA6D2B">
            <w:pPr>
              <w:rPr>
                <w:rFonts w:ascii="Tahoma" w:hAnsi="Tahoma" w:cs="Tahoma"/>
              </w:rPr>
            </w:pPr>
            <w:r w:rsidRPr="00D05CAB">
              <w:rPr>
                <w:rFonts w:ascii="Tahoma" w:hAnsi="Tahoma" w:cs="Tahoma"/>
              </w:rPr>
              <w:t>100 руб.</w:t>
            </w:r>
          </w:p>
        </w:tc>
      </w:tr>
    </w:tbl>
    <w:p w:rsidR="00214E6F" w:rsidRPr="00D05CAB" w:rsidRDefault="00214E6F" w:rsidP="00214E6F">
      <w:pPr>
        <w:ind w:left="709"/>
        <w:jc w:val="both"/>
        <w:rPr>
          <w:rFonts w:ascii="Tahoma" w:hAnsi="Tahoma" w:cs="Tahoma"/>
        </w:rPr>
      </w:pPr>
    </w:p>
    <w:p w:rsidR="00214E6F" w:rsidRPr="00D05CAB" w:rsidRDefault="00214E6F" w:rsidP="007E725E">
      <w:pPr>
        <w:widowControl/>
        <w:numPr>
          <w:ilvl w:val="0"/>
          <w:numId w:val="6"/>
        </w:numPr>
        <w:tabs>
          <w:tab w:val="clear" w:pos="720"/>
        </w:tabs>
        <w:ind w:left="567" w:hanging="567"/>
        <w:jc w:val="both"/>
        <w:rPr>
          <w:rFonts w:ascii="Tahoma" w:hAnsi="Tahoma" w:cs="Tahoma"/>
        </w:rPr>
      </w:pPr>
      <w:r w:rsidRPr="00D05CAB">
        <w:rPr>
          <w:rFonts w:ascii="Tahoma" w:hAnsi="Tahoma" w:cs="Tahoma"/>
        </w:rPr>
        <w:t>Стоимость услуг, связанных с осуществлением прав по ценным бумагам (применяется ко всем видам договоров, за исключением договоров транзитного счета депо):</w:t>
      </w:r>
    </w:p>
    <w:tbl>
      <w:tblPr>
        <w:tblW w:w="8789" w:type="dxa"/>
        <w:tblInd w:w="675"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Look w:val="0620" w:firstRow="1" w:lastRow="0" w:firstColumn="0" w:lastColumn="0" w:noHBand="1" w:noVBand="1"/>
      </w:tblPr>
      <w:tblGrid>
        <w:gridCol w:w="567"/>
        <w:gridCol w:w="5265"/>
        <w:gridCol w:w="2957"/>
      </w:tblGrid>
      <w:tr w:rsidR="009E1DF6" w:rsidRPr="00D05CAB" w:rsidTr="008B2360">
        <w:trPr>
          <w:trHeight w:val="545"/>
        </w:trPr>
        <w:tc>
          <w:tcPr>
            <w:tcW w:w="567" w:type="dxa"/>
            <w:shd w:val="clear" w:color="auto" w:fill="DAEEF3" w:themeFill="accent5" w:themeFillTint="33"/>
            <w:vAlign w:val="center"/>
          </w:tcPr>
          <w:p w:rsidR="009E1DF6" w:rsidRPr="00D05CAB" w:rsidRDefault="00366598" w:rsidP="00366598">
            <w:pPr>
              <w:widowControl/>
              <w:ind w:left="-116"/>
              <w:jc w:val="center"/>
              <w:rPr>
                <w:rFonts w:ascii="Tahoma" w:hAnsi="Tahoma" w:cs="Tahoma"/>
                <w:b/>
                <w:bCs/>
                <w:color w:val="262626"/>
                <w:lang w:eastAsia="en-US"/>
              </w:rPr>
            </w:pPr>
            <w:r w:rsidRPr="00D05CAB">
              <w:rPr>
                <w:rFonts w:ascii="Tahoma" w:hAnsi="Tahoma" w:cs="Tahoma"/>
                <w:b/>
                <w:bCs/>
                <w:color w:val="262626"/>
                <w:lang w:eastAsia="en-US"/>
              </w:rPr>
              <w:t xml:space="preserve">№ </w:t>
            </w:r>
            <w:proofErr w:type="gramStart"/>
            <w:r w:rsidRPr="00D05CAB">
              <w:rPr>
                <w:rFonts w:ascii="Tahoma" w:hAnsi="Tahoma" w:cs="Tahoma"/>
                <w:b/>
                <w:bCs/>
                <w:color w:val="262626"/>
                <w:lang w:eastAsia="en-US"/>
              </w:rPr>
              <w:t>п</w:t>
            </w:r>
            <w:proofErr w:type="gramEnd"/>
            <w:r w:rsidRPr="00D05CAB">
              <w:rPr>
                <w:rFonts w:ascii="Tahoma" w:hAnsi="Tahoma" w:cs="Tahoma"/>
                <w:b/>
                <w:bCs/>
                <w:color w:val="262626"/>
                <w:lang w:eastAsia="en-US"/>
              </w:rPr>
              <w:t>/п</w:t>
            </w:r>
          </w:p>
        </w:tc>
        <w:tc>
          <w:tcPr>
            <w:tcW w:w="5265" w:type="dxa"/>
            <w:shd w:val="clear" w:color="auto" w:fill="DAEEF3" w:themeFill="accent5" w:themeFillTint="33"/>
            <w:vAlign w:val="center"/>
          </w:tcPr>
          <w:p w:rsidR="009E1DF6" w:rsidRPr="00D05CAB" w:rsidRDefault="009E1DF6" w:rsidP="00FA6D2B">
            <w:pPr>
              <w:widowControl/>
              <w:jc w:val="center"/>
              <w:rPr>
                <w:rFonts w:ascii="Tahoma" w:hAnsi="Tahoma" w:cs="Tahoma"/>
                <w:b/>
                <w:bCs/>
                <w:color w:val="262626"/>
                <w:lang w:eastAsia="en-US"/>
              </w:rPr>
            </w:pPr>
            <w:r w:rsidRPr="00D05CAB">
              <w:rPr>
                <w:rFonts w:ascii="Tahoma" w:hAnsi="Tahoma" w:cs="Tahoma"/>
                <w:b/>
                <w:bCs/>
                <w:color w:val="262626"/>
                <w:lang w:eastAsia="en-US"/>
              </w:rPr>
              <w:t>Вид услуги</w:t>
            </w:r>
          </w:p>
        </w:tc>
        <w:tc>
          <w:tcPr>
            <w:tcW w:w="2957" w:type="dxa"/>
            <w:shd w:val="clear" w:color="auto" w:fill="DAEEF3" w:themeFill="accent5" w:themeFillTint="33"/>
            <w:vAlign w:val="center"/>
          </w:tcPr>
          <w:p w:rsidR="009E1DF6" w:rsidRPr="00D05CAB" w:rsidRDefault="009E1DF6" w:rsidP="00FA6D2B">
            <w:pPr>
              <w:widowControl/>
              <w:jc w:val="center"/>
              <w:rPr>
                <w:rFonts w:ascii="Tahoma" w:hAnsi="Tahoma" w:cs="Tahoma"/>
                <w:b/>
                <w:bCs/>
                <w:color w:val="262626"/>
                <w:lang w:eastAsia="en-US"/>
              </w:rPr>
            </w:pPr>
            <w:r w:rsidRPr="00D05CAB">
              <w:rPr>
                <w:rFonts w:ascii="Tahoma" w:hAnsi="Tahoma" w:cs="Tahoma"/>
                <w:b/>
                <w:bCs/>
                <w:color w:val="262626"/>
                <w:lang w:eastAsia="en-US"/>
              </w:rPr>
              <w:t>Стоимость услуги</w:t>
            </w:r>
          </w:p>
        </w:tc>
      </w:tr>
      <w:tr w:rsidR="009E1DF6" w:rsidRPr="00D05CAB" w:rsidTr="008B2360">
        <w:trPr>
          <w:trHeight w:val="60"/>
        </w:trPr>
        <w:tc>
          <w:tcPr>
            <w:tcW w:w="567" w:type="dxa"/>
          </w:tcPr>
          <w:p w:rsidR="009E1DF6" w:rsidRPr="00D05CAB" w:rsidRDefault="009E1DF6" w:rsidP="00FA6D2B">
            <w:pPr>
              <w:jc w:val="center"/>
              <w:rPr>
                <w:rFonts w:ascii="Tahoma" w:hAnsi="Tahoma" w:cs="Tahoma"/>
              </w:rPr>
            </w:pPr>
            <w:r w:rsidRPr="00D05CAB">
              <w:rPr>
                <w:rFonts w:ascii="Tahoma" w:hAnsi="Tahoma" w:cs="Tahoma"/>
              </w:rPr>
              <w:t>3.1</w:t>
            </w:r>
          </w:p>
        </w:tc>
        <w:tc>
          <w:tcPr>
            <w:tcW w:w="5265" w:type="dxa"/>
          </w:tcPr>
          <w:p w:rsidR="009E1DF6" w:rsidRPr="00D05CAB" w:rsidRDefault="009E1DF6" w:rsidP="00FA6D2B">
            <w:pPr>
              <w:rPr>
                <w:rFonts w:ascii="Tahoma" w:hAnsi="Tahoma" w:cs="Tahoma"/>
              </w:rPr>
            </w:pPr>
            <w:r w:rsidRPr="00D05CAB">
              <w:rPr>
                <w:rFonts w:ascii="Tahoma" w:hAnsi="Tahoma" w:cs="Tahoma"/>
              </w:rPr>
              <w:t xml:space="preserve">Участие в собрании владельцев ценных бумаг </w:t>
            </w:r>
          </w:p>
        </w:tc>
        <w:tc>
          <w:tcPr>
            <w:tcW w:w="2957" w:type="dxa"/>
          </w:tcPr>
          <w:p w:rsidR="009E1DF6" w:rsidRPr="00D05CAB" w:rsidRDefault="009E1DF6" w:rsidP="00577228">
            <w:pPr>
              <w:pStyle w:val="3"/>
              <w:spacing w:before="0"/>
              <w:rPr>
                <w:rFonts w:ascii="Tahoma" w:eastAsia="Times New Roman" w:hAnsi="Tahoma" w:cs="Tahoma"/>
                <w:b w:val="0"/>
                <w:bCs w:val="0"/>
                <w:color w:val="auto"/>
              </w:rPr>
            </w:pPr>
            <w:r w:rsidRPr="00D05CAB">
              <w:rPr>
                <w:rFonts w:ascii="Tahoma" w:eastAsia="Times New Roman" w:hAnsi="Tahoma" w:cs="Tahoma"/>
                <w:b w:val="0"/>
                <w:bCs w:val="0"/>
                <w:color w:val="auto"/>
              </w:rPr>
              <w:t>600 руб. за каждую инструкцию</w:t>
            </w:r>
          </w:p>
        </w:tc>
      </w:tr>
      <w:tr w:rsidR="009E1DF6" w:rsidRPr="00D05CAB" w:rsidTr="008B2360">
        <w:trPr>
          <w:trHeight w:val="60"/>
        </w:trPr>
        <w:tc>
          <w:tcPr>
            <w:tcW w:w="567" w:type="dxa"/>
          </w:tcPr>
          <w:p w:rsidR="009E1DF6" w:rsidRPr="00D05CAB" w:rsidRDefault="009E1DF6" w:rsidP="00FA6D2B">
            <w:pPr>
              <w:jc w:val="center"/>
              <w:rPr>
                <w:rFonts w:ascii="Tahoma" w:hAnsi="Tahoma" w:cs="Tahoma"/>
              </w:rPr>
            </w:pPr>
            <w:r w:rsidRPr="00D05CAB">
              <w:rPr>
                <w:rFonts w:ascii="Tahoma" w:hAnsi="Tahoma" w:cs="Tahoma"/>
              </w:rPr>
              <w:lastRenderedPageBreak/>
              <w:t>3.2</w:t>
            </w:r>
          </w:p>
        </w:tc>
        <w:tc>
          <w:tcPr>
            <w:tcW w:w="5265" w:type="dxa"/>
          </w:tcPr>
          <w:p w:rsidR="009E1DF6" w:rsidRPr="00D05CAB" w:rsidRDefault="009E1DF6" w:rsidP="00FA6D2B">
            <w:pPr>
              <w:rPr>
                <w:rFonts w:ascii="Tahoma" w:hAnsi="Tahoma" w:cs="Tahoma"/>
              </w:rPr>
            </w:pPr>
            <w:r w:rsidRPr="00D05CAB">
              <w:rPr>
                <w:rFonts w:ascii="Tahoma" w:hAnsi="Tahoma" w:cs="Tahoma"/>
              </w:rPr>
              <w:t xml:space="preserve">Участие в корпоративных действиях, требующих волеизъявления Депонента  </w:t>
            </w:r>
          </w:p>
        </w:tc>
        <w:tc>
          <w:tcPr>
            <w:tcW w:w="2957" w:type="dxa"/>
          </w:tcPr>
          <w:p w:rsidR="009E1DF6" w:rsidRPr="00D05CAB" w:rsidRDefault="009E1DF6" w:rsidP="00577228">
            <w:pPr>
              <w:pStyle w:val="3"/>
              <w:spacing w:before="0"/>
              <w:rPr>
                <w:rFonts w:ascii="Tahoma" w:eastAsia="Times New Roman" w:hAnsi="Tahoma" w:cs="Tahoma"/>
                <w:b w:val="0"/>
                <w:bCs w:val="0"/>
                <w:color w:val="auto"/>
              </w:rPr>
            </w:pPr>
            <w:r w:rsidRPr="00D05CAB">
              <w:rPr>
                <w:rFonts w:ascii="Tahoma" w:eastAsia="Times New Roman" w:hAnsi="Tahoma" w:cs="Tahoma"/>
                <w:b w:val="0"/>
                <w:bCs w:val="0"/>
                <w:color w:val="auto"/>
              </w:rPr>
              <w:t>1000 руб. за каждую инструкцию</w:t>
            </w:r>
            <w:r w:rsidRPr="00D05CAB">
              <w:rPr>
                <w:rStyle w:val="af5"/>
                <w:rFonts w:ascii="Tahoma" w:hAnsi="Tahoma" w:cs="Tahoma"/>
                <w:b w:val="0"/>
                <w:color w:val="auto"/>
              </w:rPr>
              <w:footnoteReference w:id="3"/>
            </w:r>
          </w:p>
        </w:tc>
      </w:tr>
      <w:tr w:rsidR="009E1DF6" w:rsidRPr="00D05CAB" w:rsidTr="008B2360">
        <w:trPr>
          <w:trHeight w:val="60"/>
        </w:trPr>
        <w:tc>
          <w:tcPr>
            <w:tcW w:w="567" w:type="dxa"/>
          </w:tcPr>
          <w:p w:rsidR="009E1DF6" w:rsidRPr="00D05CAB" w:rsidRDefault="009E1DF6" w:rsidP="00FA6D2B">
            <w:pPr>
              <w:jc w:val="center"/>
              <w:rPr>
                <w:rFonts w:ascii="Tahoma" w:hAnsi="Tahoma" w:cs="Tahoma"/>
              </w:rPr>
            </w:pPr>
            <w:r w:rsidRPr="00D05CAB">
              <w:rPr>
                <w:rFonts w:ascii="Tahoma" w:hAnsi="Tahoma" w:cs="Tahoma"/>
              </w:rPr>
              <w:t>3.3</w:t>
            </w:r>
          </w:p>
        </w:tc>
        <w:tc>
          <w:tcPr>
            <w:tcW w:w="5265" w:type="dxa"/>
          </w:tcPr>
          <w:p w:rsidR="009E1DF6" w:rsidRPr="00D05CAB" w:rsidRDefault="009E1DF6" w:rsidP="00FA6D2B">
            <w:pPr>
              <w:rPr>
                <w:rFonts w:ascii="Tahoma" w:hAnsi="Tahoma" w:cs="Tahoma"/>
              </w:rPr>
            </w:pPr>
            <w:r w:rsidRPr="00D05CAB">
              <w:rPr>
                <w:rFonts w:ascii="Tahoma" w:hAnsi="Tahoma" w:cs="Tahoma"/>
              </w:rPr>
              <w:t xml:space="preserve">Получение доходов по ценным бумагам и иных причитающихся Депоненту выплат в рублях </w:t>
            </w:r>
          </w:p>
        </w:tc>
        <w:tc>
          <w:tcPr>
            <w:tcW w:w="2957" w:type="dxa"/>
          </w:tcPr>
          <w:p w:rsidR="009E1DF6" w:rsidRPr="00D05CAB" w:rsidRDefault="009E1DF6" w:rsidP="00577228">
            <w:pPr>
              <w:pStyle w:val="3"/>
              <w:spacing w:before="0"/>
              <w:rPr>
                <w:rFonts w:ascii="Tahoma" w:eastAsia="Times New Roman" w:hAnsi="Tahoma" w:cs="Tahoma"/>
                <w:b w:val="0"/>
                <w:bCs w:val="0"/>
                <w:color w:val="auto"/>
              </w:rPr>
            </w:pPr>
            <w:r w:rsidRPr="00D05CAB">
              <w:rPr>
                <w:rFonts w:ascii="Tahoma" w:eastAsia="Times New Roman" w:hAnsi="Tahoma" w:cs="Tahoma"/>
                <w:b w:val="0"/>
                <w:bCs w:val="0"/>
                <w:color w:val="auto"/>
              </w:rPr>
              <w:t>50 руб. за каждое платежное поручение, направленное Депоненту</w:t>
            </w:r>
            <w:r w:rsidRPr="00D05CAB">
              <w:rPr>
                <w:rStyle w:val="af5"/>
                <w:rFonts w:ascii="Tahoma" w:hAnsi="Tahoma" w:cs="Tahoma"/>
                <w:b w:val="0"/>
                <w:color w:val="auto"/>
              </w:rPr>
              <w:footnoteReference w:id="4"/>
            </w:r>
          </w:p>
        </w:tc>
      </w:tr>
      <w:tr w:rsidR="009E1DF6" w:rsidRPr="00D05CAB" w:rsidTr="008B2360">
        <w:trPr>
          <w:trHeight w:val="60"/>
        </w:trPr>
        <w:tc>
          <w:tcPr>
            <w:tcW w:w="567" w:type="dxa"/>
          </w:tcPr>
          <w:p w:rsidR="009E1DF6" w:rsidRPr="00D05CAB" w:rsidRDefault="009E1DF6" w:rsidP="00FA6D2B">
            <w:pPr>
              <w:jc w:val="center"/>
              <w:rPr>
                <w:rFonts w:ascii="Tahoma" w:hAnsi="Tahoma" w:cs="Tahoma"/>
              </w:rPr>
            </w:pPr>
            <w:r w:rsidRPr="00D05CAB">
              <w:rPr>
                <w:rFonts w:ascii="Tahoma" w:hAnsi="Tahoma" w:cs="Tahoma"/>
              </w:rPr>
              <w:t>3.4</w:t>
            </w:r>
          </w:p>
        </w:tc>
        <w:tc>
          <w:tcPr>
            <w:tcW w:w="5265" w:type="dxa"/>
          </w:tcPr>
          <w:p w:rsidR="009E1DF6" w:rsidRPr="00D05CAB" w:rsidRDefault="009E1DF6" w:rsidP="00FA6D2B">
            <w:pPr>
              <w:rPr>
                <w:rFonts w:ascii="Tahoma" w:hAnsi="Tahoma" w:cs="Tahoma"/>
              </w:rPr>
            </w:pPr>
            <w:r w:rsidRPr="00D05CAB">
              <w:rPr>
                <w:rFonts w:ascii="Tahoma" w:hAnsi="Tahoma" w:cs="Tahoma"/>
              </w:rPr>
              <w:t>Получение доходов по ценным бумагам и иных причитающихся Депоненту выплат в иностранной валюте</w:t>
            </w:r>
          </w:p>
        </w:tc>
        <w:tc>
          <w:tcPr>
            <w:tcW w:w="2957" w:type="dxa"/>
          </w:tcPr>
          <w:p w:rsidR="009E1DF6" w:rsidRPr="00D05CAB" w:rsidRDefault="009E1DF6" w:rsidP="00577228">
            <w:pPr>
              <w:pStyle w:val="3"/>
              <w:spacing w:before="0"/>
              <w:rPr>
                <w:rFonts w:ascii="Tahoma" w:eastAsia="Times New Roman" w:hAnsi="Tahoma" w:cs="Tahoma"/>
                <w:b w:val="0"/>
                <w:bCs w:val="0"/>
                <w:color w:val="auto"/>
              </w:rPr>
            </w:pPr>
            <w:r w:rsidRPr="00D05CAB">
              <w:rPr>
                <w:rFonts w:ascii="Tahoma" w:eastAsia="Times New Roman" w:hAnsi="Tahoma" w:cs="Tahoma"/>
                <w:b w:val="0"/>
                <w:bCs w:val="0"/>
                <w:color w:val="auto"/>
              </w:rPr>
              <w:t>100 руб. за каждое платежное поручение, направленное Депоненту</w:t>
            </w:r>
            <w:r w:rsidRPr="00D05CAB">
              <w:rPr>
                <w:rStyle w:val="af5"/>
                <w:rFonts w:ascii="Tahoma" w:hAnsi="Tahoma" w:cs="Tahoma"/>
                <w:b w:val="0"/>
                <w:color w:val="auto"/>
              </w:rPr>
              <w:t>4</w:t>
            </w:r>
          </w:p>
        </w:tc>
      </w:tr>
    </w:tbl>
    <w:p w:rsidR="009E1DF6" w:rsidRPr="00D05CAB" w:rsidRDefault="009E1DF6" w:rsidP="00214E6F">
      <w:pPr>
        <w:ind w:left="720"/>
        <w:jc w:val="both"/>
        <w:rPr>
          <w:rFonts w:ascii="Tahoma" w:hAnsi="Tahoma" w:cs="Tahoma"/>
        </w:rPr>
      </w:pPr>
    </w:p>
    <w:p w:rsidR="00214E6F" w:rsidRPr="00D05CAB" w:rsidRDefault="00214E6F" w:rsidP="007E725E">
      <w:pPr>
        <w:widowControl/>
        <w:numPr>
          <w:ilvl w:val="0"/>
          <w:numId w:val="6"/>
        </w:numPr>
        <w:tabs>
          <w:tab w:val="clear" w:pos="720"/>
        </w:tabs>
        <w:ind w:left="567" w:hanging="567"/>
        <w:jc w:val="both"/>
        <w:rPr>
          <w:rFonts w:ascii="Tahoma" w:hAnsi="Tahoma" w:cs="Tahoma"/>
        </w:rPr>
      </w:pPr>
      <w:r w:rsidRPr="00D05CAB">
        <w:rPr>
          <w:rFonts w:ascii="Tahoma" w:hAnsi="Tahoma" w:cs="Tahoma"/>
        </w:rPr>
        <w:t>Стоимость услуг сторонних депозитариев, привлеченных Депозитарием к исполнению обязанностей по хранению сертификатов ценных бумаг и (или) учету прав на ценные бумаги</w:t>
      </w:r>
      <w:r w:rsidR="00D671C9" w:rsidRPr="00D05CAB">
        <w:rPr>
          <w:rFonts w:ascii="Tahoma" w:hAnsi="Tahoma" w:cs="Tahoma"/>
        </w:rPr>
        <w:t xml:space="preserve"> и иные финансовые инструменты</w:t>
      </w:r>
      <w:r w:rsidRPr="00D05CAB">
        <w:rPr>
          <w:rFonts w:ascii="Tahoma" w:hAnsi="Tahoma" w:cs="Tahoma"/>
        </w:rPr>
        <w:t>, а также стоимость услуг держателей реестров владельцев именных ценных бумаг по проведению операций по переходу прав на ценные бумаги определяется в соответствии с тарифами таких сторонних депозитариев/держателей реестров и оплачивается дополнительно. В случае если оплата услуг вышеуказанных организаций осуществляется в иностранной валюте, стоимость вышеперечисленных услуг увеличивается на стоимость услуг кредитных организаций, через которые осуществляется платеж и (или) конвертация валюты, а также на сумму иных расходов Депозитария, связанных с конвертацией валюты, и оплачивается дополнительно.</w:t>
      </w:r>
    </w:p>
    <w:p w:rsidR="00214E6F" w:rsidRPr="00D05CAB" w:rsidRDefault="00214E6F" w:rsidP="007E725E">
      <w:pPr>
        <w:widowControl/>
        <w:numPr>
          <w:ilvl w:val="0"/>
          <w:numId w:val="6"/>
        </w:numPr>
        <w:tabs>
          <w:tab w:val="clear" w:pos="720"/>
        </w:tabs>
        <w:ind w:left="567" w:hanging="567"/>
        <w:jc w:val="both"/>
        <w:rPr>
          <w:rFonts w:ascii="Tahoma" w:hAnsi="Tahoma" w:cs="Tahoma"/>
        </w:rPr>
      </w:pPr>
      <w:r w:rsidRPr="00D05CAB">
        <w:rPr>
          <w:rFonts w:ascii="Tahoma" w:hAnsi="Tahoma" w:cs="Tahoma"/>
        </w:rPr>
        <w:t>Стоимость услуг кредитных организаций, через которые осуществляется перечисление денежных средств (включая услуги по хранению (размещению) денежных средств на банковских счетах в иностранной валюте, по переводу денежных средств в иностранной валюте, по осуществлению функций агента валютного контроля</w:t>
      </w:r>
      <w:r w:rsidRPr="00D05CAB">
        <w:rPr>
          <w:rFonts w:ascii="Tahoma" w:hAnsi="Tahoma" w:cs="Tahoma"/>
          <w:vertAlign w:val="superscript"/>
        </w:rPr>
        <w:footnoteReference w:id="5"/>
      </w:r>
      <w:r w:rsidRPr="00D05CAB">
        <w:rPr>
          <w:rFonts w:ascii="Tahoma" w:hAnsi="Tahoma" w:cs="Tahoma"/>
        </w:rPr>
        <w:t>, по конвертации валюты и др.), определяется в соответствии с тарифами кредитной организации, оказывающей данные услуги, и оплачивается дополнительно.</w:t>
      </w:r>
    </w:p>
    <w:p w:rsidR="00214E6F" w:rsidRPr="00D05CAB" w:rsidRDefault="00214E6F" w:rsidP="007E725E">
      <w:pPr>
        <w:widowControl/>
        <w:numPr>
          <w:ilvl w:val="0"/>
          <w:numId w:val="6"/>
        </w:numPr>
        <w:tabs>
          <w:tab w:val="clear" w:pos="720"/>
        </w:tabs>
        <w:ind w:left="567" w:hanging="567"/>
        <w:jc w:val="both"/>
        <w:rPr>
          <w:rFonts w:ascii="Tahoma" w:hAnsi="Tahoma" w:cs="Tahoma"/>
        </w:rPr>
      </w:pPr>
      <w:r w:rsidRPr="00D05CAB">
        <w:rPr>
          <w:rFonts w:ascii="Tahoma" w:hAnsi="Tahoma" w:cs="Tahoma"/>
        </w:rPr>
        <w:t xml:space="preserve">В случае привлечения для исполнения поручения клиента трансфер-агентов или организаций, оказывающих услуги связи (экспресс-почта, телекоммуникационные услуги и т.п.) стоимость услуг привлеченных организаций определяется в соответствии с их тарифами и оплачивается дополнительно. </w:t>
      </w:r>
    </w:p>
    <w:p w:rsidR="00214E6F" w:rsidRPr="00D05CAB" w:rsidRDefault="00214E6F" w:rsidP="007E725E">
      <w:pPr>
        <w:widowControl/>
        <w:numPr>
          <w:ilvl w:val="0"/>
          <w:numId w:val="6"/>
        </w:numPr>
        <w:tabs>
          <w:tab w:val="clear" w:pos="720"/>
        </w:tabs>
        <w:ind w:left="567" w:hanging="567"/>
        <w:jc w:val="both"/>
        <w:rPr>
          <w:rFonts w:ascii="Tahoma" w:hAnsi="Tahoma" w:cs="Tahoma"/>
        </w:rPr>
      </w:pPr>
      <w:r w:rsidRPr="00D05CAB">
        <w:rPr>
          <w:rFonts w:ascii="Tahoma" w:hAnsi="Tahoma" w:cs="Tahoma"/>
        </w:rPr>
        <w:t xml:space="preserve">Стоимость услуг, указанных в </w:t>
      </w:r>
      <w:proofErr w:type="spellStart"/>
      <w:r w:rsidRPr="00D05CAB">
        <w:rPr>
          <w:rFonts w:ascii="Tahoma" w:hAnsi="Tahoma" w:cs="Tahoma"/>
        </w:rPr>
        <w:t>пп</w:t>
      </w:r>
      <w:proofErr w:type="spellEnd"/>
      <w:r w:rsidRPr="00D05CAB">
        <w:rPr>
          <w:rFonts w:ascii="Tahoma" w:hAnsi="Tahoma" w:cs="Tahoma"/>
        </w:rPr>
        <w:t>. 1-3 Тарифов, определяется ежемесячно по каждому счету депо. При определении стоимости услуг за календарный месяц учитываются операции, произведенные за период с 25 числа календарного месяца, предшествующего месяцу, за который производится расчет, по 24 число календарного месяца, за который производится расчет включительно.</w:t>
      </w:r>
    </w:p>
    <w:p w:rsidR="00214E6F" w:rsidRPr="00D05CAB" w:rsidRDefault="00214E6F" w:rsidP="007E725E">
      <w:pPr>
        <w:widowControl/>
        <w:numPr>
          <w:ilvl w:val="0"/>
          <w:numId w:val="6"/>
        </w:numPr>
        <w:tabs>
          <w:tab w:val="clear" w:pos="720"/>
        </w:tabs>
        <w:ind w:left="567" w:hanging="567"/>
        <w:jc w:val="both"/>
        <w:rPr>
          <w:rFonts w:ascii="Tahoma" w:hAnsi="Tahoma" w:cs="Tahoma"/>
        </w:rPr>
      </w:pPr>
      <w:r w:rsidRPr="00D05CAB">
        <w:rPr>
          <w:rFonts w:ascii="Tahoma" w:hAnsi="Tahoma" w:cs="Tahoma"/>
        </w:rPr>
        <w:t xml:space="preserve">Стоимость информационных операций по закрытым счетам депо определяется в соответствии с </w:t>
      </w:r>
      <w:proofErr w:type="spellStart"/>
      <w:r w:rsidRPr="00D05CAB">
        <w:rPr>
          <w:rFonts w:ascii="Tahoma" w:hAnsi="Tahoma" w:cs="Tahoma"/>
        </w:rPr>
        <w:t>пп</w:t>
      </w:r>
      <w:proofErr w:type="spellEnd"/>
      <w:r w:rsidRPr="00D05CAB">
        <w:rPr>
          <w:rFonts w:ascii="Tahoma" w:hAnsi="Tahoma" w:cs="Tahoma"/>
        </w:rPr>
        <w:t>. 2.9 - 2.10 Тарифов. Депозитарий вправе требовать предварительной оплаты услуг, указанных в настоящем пункте.</w:t>
      </w:r>
    </w:p>
    <w:p w:rsidR="00214E6F" w:rsidRPr="00D05CAB" w:rsidRDefault="00214E6F" w:rsidP="007E725E">
      <w:pPr>
        <w:widowControl/>
        <w:numPr>
          <w:ilvl w:val="0"/>
          <w:numId w:val="6"/>
        </w:numPr>
        <w:tabs>
          <w:tab w:val="clear" w:pos="720"/>
        </w:tabs>
        <w:ind w:left="567" w:hanging="567"/>
        <w:jc w:val="both"/>
        <w:rPr>
          <w:rFonts w:ascii="Tahoma" w:hAnsi="Tahoma" w:cs="Tahoma"/>
        </w:rPr>
      </w:pPr>
      <w:r w:rsidRPr="00D05CAB">
        <w:rPr>
          <w:rFonts w:ascii="Tahoma" w:hAnsi="Tahoma" w:cs="Tahoma"/>
        </w:rPr>
        <w:t>Указанные Тарифы не применяются при определении вознаграждения за хранение и учет закладных.</w:t>
      </w:r>
    </w:p>
    <w:p w:rsidR="00214E6F" w:rsidRPr="00D05CAB" w:rsidRDefault="00214E6F" w:rsidP="007E725E">
      <w:pPr>
        <w:widowControl/>
        <w:numPr>
          <w:ilvl w:val="0"/>
          <w:numId w:val="6"/>
        </w:numPr>
        <w:tabs>
          <w:tab w:val="clear" w:pos="720"/>
        </w:tabs>
        <w:ind w:left="567" w:hanging="567"/>
        <w:jc w:val="both"/>
        <w:rPr>
          <w:rFonts w:ascii="Tahoma" w:hAnsi="Tahoma" w:cs="Tahoma"/>
        </w:rPr>
      </w:pPr>
      <w:r w:rsidRPr="00D05CAB">
        <w:rPr>
          <w:rFonts w:ascii="Tahoma" w:hAnsi="Tahoma" w:cs="Tahoma"/>
        </w:rPr>
        <w:t>Стоимость депозитарных услуг по договорам транзитного счета депо определяется в соответствии с п. 4 Тарифов.</w:t>
      </w:r>
    </w:p>
    <w:p w:rsidR="00214E6F" w:rsidRPr="00D05CAB" w:rsidRDefault="00214E6F" w:rsidP="007E725E">
      <w:pPr>
        <w:widowControl/>
        <w:numPr>
          <w:ilvl w:val="0"/>
          <w:numId w:val="6"/>
        </w:numPr>
        <w:tabs>
          <w:tab w:val="clear" w:pos="720"/>
        </w:tabs>
        <w:ind w:left="567" w:hanging="567"/>
        <w:jc w:val="both"/>
        <w:rPr>
          <w:rFonts w:ascii="Tahoma" w:hAnsi="Tahoma" w:cs="Tahoma"/>
        </w:rPr>
      </w:pPr>
      <w:r w:rsidRPr="00D05CAB">
        <w:rPr>
          <w:rFonts w:ascii="Tahoma" w:hAnsi="Tahoma" w:cs="Tahoma"/>
        </w:rPr>
        <w:t>Указанные Тарифы для управляющих компаний ПИФ применяются в части, не противоречащей соглашению о вознаграждении специализированного депозитария.</w:t>
      </w:r>
    </w:p>
    <w:p w:rsidR="00214E6F" w:rsidRPr="00D05CAB" w:rsidRDefault="00214E6F" w:rsidP="007E725E">
      <w:pPr>
        <w:widowControl/>
        <w:numPr>
          <w:ilvl w:val="0"/>
          <w:numId w:val="6"/>
        </w:numPr>
        <w:tabs>
          <w:tab w:val="clear" w:pos="720"/>
        </w:tabs>
        <w:ind w:left="567" w:hanging="567"/>
        <w:jc w:val="both"/>
        <w:rPr>
          <w:rFonts w:ascii="Tahoma" w:hAnsi="Tahoma" w:cs="Tahoma"/>
        </w:rPr>
      </w:pPr>
      <w:r w:rsidRPr="00D05CAB">
        <w:rPr>
          <w:rFonts w:ascii="Tahoma" w:hAnsi="Tahoma" w:cs="Tahoma"/>
        </w:rPr>
        <w:lastRenderedPageBreak/>
        <w:t>Указанные Тарифы для управляющих компаний, осуществляющих доверительное управление средствами пенсионных накоплений, применяются в части, не противоречащей договору, заключенному с управляющей компанией.</w:t>
      </w:r>
    </w:p>
    <w:p w:rsidR="00214E6F" w:rsidRPr="00D05CAB" w:rsidRDefault="00214E6F" w:rsidP="007E725E">
      <w:pPr>
        <w:widowControl/>
        <w:numPr>
          <w:ilvl w:val="0"/>
          <w:numId w:val="6"/>
        </w:numPr>
        <w:tabs>
          <w:tab w:val="clear" w:pos="720"/>
        </w:tabs>
        <w:ind w:left="567" w:hanging="567"/>
        <w:jc w:val="both"/>
        <w:rPr>
          <w:rFonts w:ascii="Tahoma" w:hAnsi="Tahoma" w:cs="Tahoma"/>
        </w:rPr>
      </w:pPr>
      <w:r w:rsidRPr="00D05CAB">
        <w:rPr>
          <w:rFonts w:ascii="Tahoma" w:hAnsi="Tahoma" w:cs="Tahoma"/>
        </w:rPr>
        <w:t>По соглашению между Депозитарием и Депонентом может устанавливаться отличный от установленного настоящими Тарифами порядок определения вознаграждения. Стоимость услуг, не указанных в настоящих Тарифах, определяется соглашением сторон.</w:t>
      </w:r>
    </w:p>
    <w:p w:rsidR="00214E6F" w:rsidRPr="00D05CAB" w:rsidRDefault="00214E6F" w:rsidP="007E725E">
      <w:pPr>
        <w:widowControl/>
        <w:numPr>
          <w:ilvl w:val="0"/>
          <w:numId w:val="6"/>
        </w:numPr>
        <w:tabs>
          <w:tab w:val="clear" w:pos="720"/>
        </w:tabs>
        <w:ind w:left="567" w:hanging="567"/>
        <w:jc w:val="both"/>
        <w:rPr>
          <w:rFonts w:ascii="Tahoma" w:hAnsi="Tahoma" w:cs="Tahoma"/>
        </w:rPr>
      </w:pPr>
      <w:bookmarkStart w:id="0" w:name="OLE_LINK1"/>
      <w:bookmarkStart w:id="1" w:name="OLE_LINK2"/>
      <w:r w:rsidRPr="00D05CAB">
        <w:rPr>
          <w:rFonts w:ascii="Tahoma" w:hAnsi="Tahoma" w:cs="Tahoma"/>
        </w:rPr>
        <w:t>Стоимость учитываемых на счете депо ценных бумаг (</w:t>
      </w:r>
      <w:proofErr w:type="spellStart"/>
      <w:r w:rsidRPr="00D05CAB">
        <w:rPr>
          <w:rFonts w:ascii="Tahoma" w:hAnsi="Tahoma" w:cs="Tahoma"/>
        </w:rPr>
        <w:t>СтП</w:t>
      </w:r>
      <w:proofErr w:type="spellEnd"/>
      <w:r w:rsidRPr="00D05CAB">
        <w:rPr>
          <w:rFonts w:ascii="Tahoma" w:hAnsi="Tahoma" w:cs="Tahoma"/>
        </w:rPr>
        <w:t>), определяется по следующей методике:</w:t>
      </w:r>
    </w:p>
    <w:bookmarkEnd w:id="0"/>
    <w:bookmarkEnd w:id="1"/>
    <w:p w:rsidR="00214E6F" w:rsidRPr="00D05CAB" w:rsidRDefault="00214E6F" w:rsidP="00214E6F">
      <w:pPr>
        <w:ind w:firstLine="708"/>
        <w:jc w:val="center"/>
        <w:outlineLvl w:val="0"/>
        <w:rPr>
          <w:rFonts w:ascii="Tahoma" w:hAnsi="Tahoma" w:cs="Tahoma"/>
          <w:b/>
        </w:rPr>
      </w:pPr>
      <w:proofErr w:type="spellStart"/>
      <w:r w:rsidRPr="00D05CAB">
        <w:rPr>
          <w:rFonts w:ascii="Tahoma" w:hAnsi="Tahoma" w:cs="Tahoma"/>
          <w:b/>
        </w:rPr>
        <w:t>СтП</w:t>
      </w:r>
      <w:proofErr w:type="spellEnd"/>
      <w:r w:rsidRPr="00D05CAB">
        <w:rPr>
          <w:rFonts w:ascii="Tahoma" w:hAnsi="Tahoma" w:cs="Tahoma"/>
          <w:b/>
        </w:rPr>
        <w:t xml:space="preserve">= </w:t>
      </w:r>
      <w:r w:rsidRPr="00D05CAB">
        <w:rPr>
          <w:rFonts w:ascii="Tahoma" w:hAnsi="Tahoma" w:cs="Tahoma"/>
          <w:i/>
          <w:iCs/>
          <w:position w:val="-32"/>
        </w:rPr>
        <w:object w:dxaOrig="166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4pt;height:44.4pt" o:ole="">
            <v:imagedata r:id="rId10" o:title=""/>
          </v:shape>
          <o:OLEObject Type="Embed" ProgID="Equation.3" ShapeID="_x0000_i1025" DrawAspect="Content" ObjectID="_1795957361" r:id="rId11"/>
        </w:object>
      </w:r>
      <w:r w:rsidRPr="00D05CAB">
        <w:rPr>
          <w:rFonts w:ascii="Tahoma" w:hAnsi="Tahoma" w:cs="Tahoma"/>
        </w:rPr>
        <w:t>, где</w:t>
      </w:r>
    </w:p>
    <w:p w:rsidR="00214E6F" w:rsidRPr="00D05CAB" w:rsidRDefault="00214E6F" w:rsidP="007E725E">
      <w:pPr>
        <w:ind w:left="567"/>
        <w:jc w:val="both"/>
        <w:rPr>
          <w:rFonts w:ascii="Tahoma" w:hAnsi="Tahoma" w:cs="Tahoma"/>
        </w:rPr>
      </w:pPr>
      <w:proofErr w:type="spellStart"/>
      <w:r w:rsidRPr="00D05CAB">
        <w:rPr>
          <w:rFonts w:ascii="Tahoma" w:hAnsi="Tahoma" w:cs="Tahoma"/>
          <w:b/>
        </w:rPr>
        <w:t>СрВзО</w:t>
      </w:r>
      <w:proofErr w:type="spellEnd"/>
      <w:r w:rsidRPr="00D05CAB">
        <w:rPr>
          <w:rFonts w:ascii="Tahoma" w:hAnsi="Tahoma" w:cs="Tahoma"/>
          <w:b/>
        </w:rPr>
        <w:t xml:space="preserve"> - </w:t>
      </w:r>
      <w:r w:rsidRPr="00D05CAB">
        <w:rPr>
          <w:rFonts w:ascii="Tahoma" w:hAnsi="Tahoma" w:cs="Tahoma"/>
        </w:rPr>
        <w:t>средневзвешенный остаток ценных бумаг (для эмиссионных ценных бумаг – средневзвешенный остаток ценных бумаг уникального выпуска) в штуках, рассчитанный за период с 25 числа календарного месяца, предшествующего месяцу, за который производится расчет, по 24 число календарного месяца, за который производится расчет, включительно, по следующему алгоритму:</w:t>
      </w:r>
    </w:p>
    <w:p w:rsidR="00214E6F" w:rsidRPr="00D05CAB" w:rsidRDefault="00214E6F" w:rsidP="00214E6F">
      <w:pPr>
        <w:ind w:left="709"/>
        <w:jc w:val="center"/>
        <w:outlineLvl w:val="0"/>
        <w:rPr>
          <w:rFonts w:ascii="Tahoma" w:hAnsi="Tahoma" w:cs="Tahoma"/>
        </w:rPr>
      </w:pPr>
      <w:proofErr w:type="spellStart"/>
      <w:r w:rsidRPr="00D05CAB">
        <w:rPr>
          <w:rFonts w:ascii="Tahoma" w:hAnsi="Tahoma" w:cs="Tahoma"/>
          <w:b/>
        </w:rPr>
        <w:t>СрВзО</w:t>
      </w:r>
      <w:proofErr w:type="spellEnd"/>
      <w:r w:rsidRPr="00D05CAB">
        <w:rPr>
          <w:rFonts w:ascii="Tahoma" w:hAnsi="Tahoma" w:cs="Tahoma"/>
          <w:b/>
        </w:rPr>
        <w:t>=</w:t>
      </w:r>
      <w:r w:rsidRPr="00D05CAB">
        <w:rPr>
          <w:rFonts w:ascii="Tahoma" w:hAnsi="Tahoma" w:cs="Tahoma"/>
          <w:i/>
          <w:iCs/>
          <w:position w:val="-38"/>
        </w:rPr>
        <w:object w:dxaOrig="1520" w:dyaOrig="840">
          <v:shape id="_x0000_i1026" type="#_x0000_t75" style="width:87pt;height:48pt" o:ole="">
            <v:imagedata r:id="rId12" o:title=""/>
          </v:shape>
          <o:OLEObject Type="Embed" ProgID="Equation.3" ShapeID="_x0000_i1026" DrawAspect="Content" ObjectID="_1795957362" r:id="rId13"/>
        </w:object>
      </w:r>
      <w:r w:rsidRPr="00D05CAB">
        <w:rPr>
          <w:rFonts w:ascii="Tahoma" w:hAnsi="Tahoma" w:cs="Tahoma"/>
        </w:rPr>
        <w:t>,</w:t>
      </w:r>
      <w:r w:rsidRPr="00D05CAB">
        <w:rPr>
          <w:rFonts w:ascii="Tahoma" w:hAnsi="Tahoma" w:cs="Tahoma"/>
          <w:b/>
        </w:rPr>
        <w:t xml:space="preserve"> </w:t>
      </w:r>
      <w:r w:rsidRPr="00D05CAB">
        <w:rPr>
          <w:rFonts w:ascii="Tahoma" w:hAnsi="Tahoma" w:cs="Tahoma"/>
        </w:rPr>
        <w:t>где</w:t>
      </w:r>
    </w:p>
    <w:p w:rsidR="00214E6F" w:rsidRPr="00D05CAB" w:rsidRDefault="00214E6F" w:rsidP="007E725E">
      <w:pPr>
        <w:ind w:left="567"/>
        <w:jc w:val="both"/>
        <w:rPr>
          <w:rFonts w:ascii="Tahoma" w:hAnsi="Tahoma" w:cs="Tahoma"/>
        </w:rPr>
      </w:pPr>
      <w:proofErr w:type="spellStart"/>
      <w:r w:rsidRPr="00D05CAB">
        <w:rPr>
          <w:rFonts w:ascii="Tahoma" w:hAnsi="Tahoma" w:cs="Tahoma"/>
          <w:b/>
        </w:rPr>
        <w:t>ОВцб</w:t>
      </w:r>
      <w:proofErr w:type="spellEnd"/>
      <w:r w:rsidRPr="00D05CAB">
        <w:rPr>
          <w:rFonts w:ascii="Tahoma" w:hAnsi="Tahoma" w:cs="Tahoma"/>
          <w:b/>
        </w:rPr>
        <w:t xml:space="preserve"> - </w:t>
      </w:r>
      <w:r w:rsidRPr="00D05CAB">
        <w:rPr>
          <w:rFonts w:ascii="Tahoma" w:hAnsi="Tahoma" w:cs="Tahoma"/>
        </w:rPr>
        <w:t>количество ценных бумаг (для эмиссионных ценных бумаг – количество ценных бумаг уникального выпуска),</w:t>
      </w:r>
      <w:r w:rsidR="005C10BD" w:rsidRPr="00D05CAB">
        <w:rPr>
          <w:rFonts w:ascii="Tahoma" w:hAnsi="Tahoma" w:cs="Tahoma"/>
        </w:rPr>
        <w:t xml:space="preserve"> </w:t>
      </w:r>
      <w:r w:rsidRPr="00D05CAB">
        <w:rPr>
          <w:rFonts w:ascii="Tahoma" w:hAnsi="Tahoma" w:cs="Tahoma"/>
        </w:rPr>
        <w:t xml:space="preserve">учитываемых на счете депо на конец операционного дня в день </w:t>
      </w:r>
      <w:r w:rsidRPr="00D05CAB">
        <w:rPr>
          <w:rFonts w:ascii="Tahoma" w:hAnsi="Tahoma" w:cs="Tahoma"/>
          <w:b/>
        </w:rPr>
        <w:t>j</w:t>
      </w:r>
      <w:r w:rsidRPr="00D05CAB">
        <w:rPr>
          <w:rFonts w:ascii="Tahoma" w:hAnsi="Tahoma" w:cs="Tahoma"/>
        </w:rPr>
        <w:t>.</w:t>
      </w:r>
    </w:p>
    <w:p w:rsidR="00214E6F" w:rsidRPr="00D05CAB" w:rsidRDefault="00214E6F" w:rsidP="007E725E">
      <w:pPr>
        <w:ind w:left="567"/>
        <w:jc w:val="both"/>
        <w:rPr>
          <w:rFonts w:ascii="Tahoma" w:hAnsi="Tahoma" w:cs="Tahoma"/>
        </w:rPr>
      </w:pPr>
      <w:r w:rsidRPr="00D05CAB">
        <w:rPr>
          <w:rFonts w:ascii="Tahoma" w:hAnsi="Tahoma" w:cs="Tahoma"/>
          <w:b/>
        </w:rPr>
        <w:t xml:space="preserve">N - </w:t>
      </w:r>
      <w:r w:rsidRPr="00D05CAB">
        <w:rPr>
          <w:rFonts w:ascii="Tahoma" w:hAnsi="Tahoma" w:cs="Tahoma"/>
        </w:rPr>
        <w:t>количество календарных дней за период с 25 числа календарного месяца, предшествующего месяцу, за который производится расчет, по 24 число календарного месяца, за который производится расчет, включительно.</w:t>
      </w:r>
    </w:p>
    <w:p w:rsidR="00214E6F" w:rsidRPr="00D05CAB" w:rsidRDefault="00214E6F" w:rsidP="007E725E">
      <w:pPr>
        <w:ind w:left="567"/>
        <w:jc w:val="both"/>
        <w:rPr>
          <w:rFonts w:ascii="Tahoma" w:hAnsi="Tahoma" w:cs="Tahoma"/>
        </w:rPr>
      </w:pPr>
      <w:r w:rsidRPr="00D05CAB">
        <w:rPr>
          <w:rFonts w:ascii="Tahoma" w:hAnsi="Tahoma" w:cs="Tahoma"/>
          <w:b/>
        </w:rPr>
        <w:t xml:space="preserve">V – </w:t>
      </w:r>
      <w:r w:rsidRPr="00D05CAB">
        <w:rPr>
          <w:rFonts w:ascii="Tahoma" w:hAnsi="Tahoma" w:cs="Tahoma"/>
        </w:rPr>
        <w:t>количество ценных бумаг (для эмиссионных ценных бумаг - количество уникальных выпусков), учитываемых на счете депо за период с 25 числа календарного месяца, предшествующего месяцу, за который производится расчет, по 24 число календарного месяца, за который производится расчет, включительно.</w:t>
      </w:r>
    </w:p>
    <w:p w:rsidR="00214E6F" w:rsidRPr="00D05CAB" w:rsidRDefault="00214E6F" w:rsidP="007E725E">
      <w:pPr>
        <w:spacing w:before="120" w:after="120"/>
        <w:ind w:left="567"/>
        <w:jc w:val="both"/>
        <w:rPr>
          <w:rFonts w:ascii="Tahoma" w:hAnsi="Tahoma" w:cs="Tahoma"/>
        </w:rPr>
      </w:pPr>
      <w:r w:rsidRPr="00D05CAB">
        <w:rPr>
          <w:rFonts w:ascii="Tahoma" w:hAnsi="Tahoma" w:cs="Tahoma"/>
          <w:b/>
        </w:rPr>
        <w:t xml:space="preserve">К – </w:t>
      </w:r>
      <w:r w:rsidRPr="00D05CAB">
        <w:rPr>
          <w:rFonts w:ascii="Tahoma" w:hAnsi="Tahoma" w:cs="Tahoma"/>
        </w:rPr>
        <w:t>стоимость ценной бумаги -</w:t>
      </w:r>
      <w:r w:rsidRPr="00D05CAB">
        <w:rPr>
          <w:rFonts w:ascii="Tahoma" w:hAnsi="Tahoma" w:cs="Tahoma"/>
          <w:b/>
        </w:rPr>
        <w:t xml:space="preserve"> </w:t>
      </w:r>
      <w:r w:rsidRPr="00D05CAB">
        <w:rPr>
          <w:rFonts w:ascii="Tahoma" w:hAnsi="Tahoma" w:cs="Tahoma"/>
        </w:rPr>
        <w:t>последняя Рыночная цена</w:t>
      </w:r>
      <w:r w:rsidR="00577228">
        <w:rPr>
          <w:rFonts w:ascii="Tahoma" w:hAnsi="Tahoma" w:cs="Tahoma"/>
        </w:rPr>
        <w:t xml:space="preserve"> </w:t>
      </w:r>
      <w:r w:rsidRPr="00D05CAB">
        <w:rPr>
          <w:rFonts w:ascii="Tahoma" w:hAnsi="Tahoma" w:cs="Tahoma"/>
        </w:rPr>
        <w:t>(3)</w:t>
      </w:r>
      <w:r w:rsidR="005C10BD" w:rsidRPr="00D05CAB">
        <w:rPr>
          <w:rFonts w:ascii="Tahoma" w:hAnsi="Tahoma" w:cs="Tahoma"/>
        </w:rPr>
        <w:t xml:space="preserve"> </w:t>
      </w:r>
      <w:r w:rsidRPr="00D05CAB">
        <w:rPr>
          <w:rFonts w:ascii="Tahoma" w:hAnsi="Tahoma" w:cs="Tahoma"/>
        </w:rPr>
        <w:t xml:space="preserve">(рассчитанная </w:t>
      </w:r>
      <w:r w:rsidR="00AE1852" w:rsidRPr="00D05CAB">
        <w:rPr>
          <w:rFonts w:ascii="Tahoma" w:hAnsi="Tahoma" w:cs="Tahoma"/>
        </w:rPr>
        <w:t>П</w:t>
      </w:r>
      <w:r w:rsidRPr="00D05CAB">
        <w:rPr>
          <w:rFonts w:ascii="Tahoma" w:hAnsi="Tahoma" w:cs="Tahoma"/>
        </w:rPr>
        <w:t xml:space="preserve">АО </w:t>
      </w:r>
      <w:r w:rsidR="00AE1852" w:rsidRPr="00D05CAB">
        <w:rPr>
          <w:rFonts w:ascii="Tahoma" w:hAnsi="Tahoma" w:cs="Tahoma"/>
        </w:rPr>
        <w:t>Московская биржа</w:t>
      </w:r>
      <w:r w:rsidR="00EB3626" w:rsidRPr="00D05CAB">
        <w:rPr>
          <w:rFonts w:ascii="Tahoma" w:hAnsi="Tahoma" w:cs="Tahoma"/>
        </w:rPr>
        <w:t xml:space="preserve">, </w:t>
      </w:r>
      <w:r w:rsidR="00532DC2" w:rsidRPr="00D05CAB">
        <w:rPr>
          <w:rFonts w:ascii="Tahoma" w:hAnsi="Tahoma" w:cs="Tahoma"/>
        </w:rPr>
        <w:t xml:space="preserve">или </w:t>
      </w:r>
      <w:r w:rsidR="00EB3626" w:rsidRPr="00D05CAB">
        <w:rPr>
          <w:rFonts w:ascii="Tahoma" w:hAnsi="Tahoma" w:cs="Tahoma"/>
        </w:rPr>
        <w:t>ПАО «СПБ Биржа»</w:t>
      </w:r>
      <w:r w:rsidR="00532DC2" w:rsidRPr="00D05CAB">
        <w:rPr>
          <w:rFonts w:ascii="Tahoma" w:hAnsi="Tahoma" w:cs="Tahoma"/>
        </w:rPr>
        <w:t>,</w:t>
      </w:r>
      <w:r w:rsidR="00EB3626" w:rsidRPr="00D05CAB">
        <w:rPr>
          <w:rFonts w:ascii="Tahoma" w:hAnsi="Tahoma" w:cs="Tahoma"/>
        </w:rPr>
        <w:t xml:space="preserve"> и</w:t>
      </w:r>
      <w:r w:rsidR="00532DC2" w:rsidRPr="00D05CAB">
        <w:rPr>
          <w:rFonts w:ascii="Tahoma" w:hAnsi="Tahoma" w:cs="Tahoma"/>
        </w:rPr>
        <w:t>ли</w:t>
      </w:r>
      <w:r w:rsidR="00EB3626" w:rsidRPr="00D05CAB">
        <w:rPr>
          <w:rFonts w:ascii="Tahoma" w:hAnsi="Tahoma" w:cs="Tahoma"/>
        </w:rPr>
        <w:t xml:space="preserve"> АО</w:t>
      </w:r>
      <w:r w:rsidR="001B3D1C" w:rsidRPr="00D05CAB">
        <w:rPr>
          <w:rFonts w:ascii="Tahoma" w:hAnsi="Tahoma" w:cs="Tahoma"/>
        </w:rPr>
        <w:t xml:space="preserve"> «</w:t>
      </w:r>
      <w:r w:rsidR="00EB3626" w:rsidRPr="00D05CAB">
        <w:rPr>
          <w:rFonts w:ascii="Tahoma" w:hAnsi="Tahoma" w:cs="Tahoma"/>
        </w:rPr>
        <w:t>Санкт-Петербургская Валютная Биржа</w:t>
      </w:r>
      <w:r w:rsidR="001B3D1C" w:rsidRPr="00D05CAB">
        <w:rPr>
          <w:rFonts w:ascii="Tahoma" w:hAnsi="Tahoma" w:cs="Tahoma"/>
        </w:rPr>
        <w:t>»</w:t>
      </w:r>
      <w:r w:rsidRPr="00D05CAB">
        <w:rPr>
          <w:rFonts w:ascii="Tahoma" w:hAnsi="Tahoma" w:cs="Tahoma"/>
        </w:rPr>
        <w:t>, в соответствии с Порядком определения рыночной цены ценных бумаг, утвержденным Приказом ФСФР от 09.11.2010 №10-65/</w:t>
      </w:r>
      <w:proofErr w:type="spellStart"/>
      <w:r w:rsidRPr="00D05CAB">
        <w:rPr>
          <w:rFonts w:ascii="Tahoma" w:hAnsi="Tahoma" w:cs="Tahoma"/>
        </w:rPr>
        <w:t>пз</w:t>
      </w:r>
      <w:proofErr w:type="spellEnd"/>
      <w:r w:rsidRPr="00D05CAB">
        <w:rPr>
          <w:rFonts w:ascii="Tahoma" w:hAnsi="Tahoma" w:cs="Tahoma"/>
        </w:rPr>
        <w:t>-н) за предшествующий 91 календарный день, включая 24 число календарного месяца, за который производится расчет, при этом:</w:t>
      </w:r>
    </w:p>
    <w:p w:rsidR="00214E6F" w:rsidRPr="00D05CAB" w:rsidRDefault="00214E6F" w:rsidP="00366598">
      <w:pPr>
        <w:widowControl/>
        <w:numPr>
          <w:ilvl w:val="0"/>
          <w:numId w:val="15"/>
        </w:numPr>
        <w:ind w:left="993" w:hanging="426"/>
        <w:jc w:val="both"/>
        <w:rPr>
          <w:rFonts w:ascii="Tahoma" w:hAnsi="Tahoma" w:cs="Tahoma"/>
        </w:rPr>
      </w:pPr>
      <w:r w:rsidRPr="00D05CAB">
        <w:rPr>
          <w:rFonts w:ascii="Tahoma" w:hAnsi="Tahoma" w:cs="Tahoma"/>
        </w:rPr>
        <w:t>В случае отсутствия Рыночной цены</w:t>
      </w:r>
      <w:r w:rsidR="00577228">
        <w:rPr>
          <w:rFonts w:ascii="Tahoma" w:hAnsi="Tahoma" w:cs="Tahoma"/>
        </w:rPr>
        <w:t xml:space="preserve"> </w:t>
      </w:r>
      <w:r w:rsidRPr="00D05CAB">
        <w:rPr>
          <w:rFonts w:ascii="Tahoma" w:hAnsi="Tahoma" w:cs="Tahoma"/>
        </w:rPr>
        <w:t>(3) – номинальная стоимость ценной бумаги;</w:t>
      </w:r>
    </w:p>
    <w:p w:rsidR="00577228" w:rsidRDefault="00214E6F" w:rsidP="00366598">
      <w:pPr>
        <w:widowControl/>
        <w:numPr>
          <w:ilvl w:val="0"/>
          <w:numId w:val="15"/>
        </w:numPr>
        <w:ind w:left="993" w:hanging="426"/>
        <w:jc w:val="both"/>
        <w:rPr>
          <w:rFonts w:ascii="Tahoma" w:hAnsi="Tahoma" w:cs="Tahoma"/>
        </w:rPr>
      </w:pPr>
      <w:r w:rsidRPr="00D05CAB">
        <w:rPr>
          <w:rFonts w:ascii="Tahoma" w:hAnsi="Tahoma" w:cs="Tahoma"/>
        </w:rPr>
        <w:t>В случае отсутствия номинальной стоимости - стоимость, указанная на бланке (сертификате) ценной бумаги. Для инвестиционных паев паевых инвестиционных фондов, созданных в соответствии с законодательством РФ, - расчетная стоимость инвестиционного пая, определяемая управляющей компанией на последний день календарного месяца, предшествующего месяцу</w:t>
      </w:r>
      <w:r w:rsidR="00577228">
        <w:rPr>
          <w:rFonts w:ascii="Tahoma" w:hAnsi="Tahoma" w:cs="Tahoma"/>
        </w:rPr>
        <w:t>,</w:t>
      </w:r>
      <w:r w:rsidRPr="00D05CAB">
        <w:rPr>
          <w:rFonts w:ascii="Tahoma" w:hAnsi="Tahoma" w:cs="Tahoma"/>
        </w:rPr>
        <w:t xml:space="preserve"> за который производится расчет;</w:t>
      </w:r>
    </w:p>
    <w:p w:rsidR="00577228" w:rsidRPr="00577228" w:rsidRDefault="00A57C88" w:rsidP="00366598">
      <w:pPr>
        <w:widowControl/>
        <w:numPr>
          <w:ilvl w:val="0"/>
          <w:numId w:val="15"/>
        </w:numPr>
        <w:ind w:left="993" w:hanging="426"/>
        <w:jc w:val="both"/>
        <w:rPr>
          <w:rFonts w:ascii="Tahoma" w:hAnsi="Tahoma" w:cs="Tahoma"/>
        </w:rPr>
      </w:pPr>
      <w:r w:rsidRPr="00577228">
        <w:rPr>
          <w:rFonts w:ascii="Tahoma" w:hAnsi="Tahoma" w:cs="Tahoma"/>
        </w:rPr>
        <w:t xml:space="preserve">Для иностранных ценных бумаг – </w:t>
      </w:r>
      <w:r w:rsidR="00CB4948" w:rsidRPr="00577228">
        <w:rPr>
          <w:rFonts w:ascii="Tahoma" w:hAnsi="Tahoma" w:cs="Tahoma"/>
        </w:rPr>
        <w:t xml:space="preserve">приоритетом в качестве оценки стоимости ценной бумаги перед последней Рыночной ценой (3) является </w:t>
      </w:r>
      <w:r w:rsidRPr="00577228">
        <w:rPr>
          <w:rFonts w:ascii="Tahoma" w:hAnsi="Tahoma" w:cs="Tahoma"/>
        </w:rPr>
        <w:t>официальная цена закрытия торгового дня на иностранной фондовой бирже. В случае наличия у ценных бумаг нескольких цен закрытия (в случае, если финансовый инструмент торгуется на различных иностранных площадках), в расчетах используется наибольшее из значений цен закрытия торгового дня на иностранных фондовых биржах. В случае отсутствия официальных цен закрытия на иностранных торговых биржах</w:t>
      </w:r>
      <w:r w:rsidR="00CB4948" w:rsidRPr="00577228">
        <w:rPr>
          <w:rFonts w:ascii="Tahoma" w:hAnsi="Tahoma" w:cs="Tahoma"/>
        </w:rPr>
        <w:t xml:space="preserve"> и Рыночной цены (3)</w:t>
      </w:r>
      <w:r w:rsidRPr="00577228">
        <w:rPr>
          <w:rFonts w:ascii="Tahoma" w:hAnsi="Tahoma" w:cs="Tahoma"/>
        </w:rPr>
        <w:t xml:space="preserve"> - номинальная стоимость ценной бумаги. В случае отсутствия номинальной стоимости - стоимость ценной бумаги, предоставленная вышестоящим депозитарием</w:t>
      </w:r>
      <w:r w:rsidR="00214E6F" w:rsidRPr="00D05CAB">
        <w:rPr>
          <w:rFonts w:ascii="Tahoma" w:hAnsi="Tahoma" w:cs="Tahoma"/>
          <w:vertAlign w:val="superscript"/>
        </w:rPr>
        <w:footnoteReference w:id="6"/>
      </w:r>
      <w:r w:rsidR="00214E6F" w:rsidRPr="00577228">
        <w:rPr>
          <w:rFonts w:ascii="Tahoma" w:hAnsi="Tahoma" w:cs="Tahoma"/>
        </w:rPr>
        <w:t>.</w:t>
      </w:r>
    </w:p>
    <w:p w:rsidR="00214E6F" w:rsidRPr="00577228" w:rsidRDefault="00366598" w:rsidP="00366598">
      <w:pPr>
        <w:widowControl/>
        <w:ind w:left="993" w:hanging="426"/>
        <w:jc w:val="both"/>
        <w:rPr>
          <w:rFonts w:ascii="Tahoma" w:hAnsi="Tahoma" w:cs="Tahoma"/>
        </w:rPr>
      </w:pPr>
      <w:r>
        <w:rPr>
          <w:rFonts w:ascii="Tahoma" w:hAnsi="Tahoma" w:cs="Tahoma"/>
        </w:rPr>
        <w:t xml:space="preserve">       </w:t>
      </w:r>
      <w:r w:rsidR="00214E6F" w:rsidRPr="00577228">
        <w:rPr>
          <w:rFonts w:ascii="Tahoma" w:hAnsi="Tahoma" w:cs="Tahoma"/>
        </w:rPr>
        <w:t>Для определения стоимости учитываемых на счете депо ценных бумаг, номинированных в иностранной валюте, используется курс ЦБ РФ на 24 число календарного месяца, за который производится расчет.</w:t>
      </w:r>
    </w:p>
    <w:p w:rsidR="00214E6F" w:rsidRPr="00D05CAB" w:rsidRDefault="00214E6F" w:rsidP="00214E6F">
      <w:pPr>
        <w:tabs>
          <w:tab w:val="left" w:pos="426"/>
        </w:tabs>
        <w:ind w:left="993"/>
        <w:jc w:val="both"/>
        <w:rPr>
          <w:rFonts w:ascii="Tahoma" w:hAnsi="Tahoma" w:cs="Tahoma"/>
          <w:color w:val="943634"/>
        </w:rPr>
      </w:pPr>
    </w:p>
    <w:p w:rsidR="00214E6F" w:rsidRPr="00D05CAB" w:rsidRDefault="00214E6F" w:rsidP="007E725E">
      <w:pPr>
        <w:widowControl/>
        <w:numPr>
          <w:ilvl w:val="0"/>
          <w:numId w:val="6"/>
        </w:numPr>
        <w:tabs>
          <w:tab w:val="clear" w:pos="720"/>
        </w:tabs>
        <w:ind w:left="567" w:hanging="567"/>
        <w:jc w:val="both"/>
        <w:rPr>
          <w:rFonts w:ascii="Tahoma" w:hAnsi="Tahoma" w:cs="Tahoma"/>
        </w:rPr>
      </w:pPr>
      <w:r w:rsidRPr="00D05CAB">
        <w:rPr>
          <w:rFonts w:ascii="Tahoma" w:hAnsi="Tahoma" w:cs="Tahoma"/>
        </w:rPr>
        <w:t>В случае расторжения (прекращения) договора на оказание услуг до окончания месяца, за который производится расчет, стоимость учитываемых на счете депо ценных бумаг определяется с учетом следующих особенностей:</w:t>
      </w:r>
    </w:p>
    <w:p w:rsidR="00214E6F" w:rsidRPr="00D05CAB" w:rsidRDefault="00214E6F" w:rsidP="00366598">
      <w:pPr>
        <w:widowControl/>
        <w:numPr>
          <w:ilvl w:val="0"/>
          <w:numId w:val="14"/>
        </w:numPr>
        <w:ind w:left="993" w:hanging="426"/>
        <w:jc w:val="both"/>
        <w:rPr>
          <w:rFonts w:ascii="Tahoma" w:hAnsi="Tahoma" w:cs="Tahoma"/>
        </w:rPr>
      </w:pPr>
      <w:r w:rsidRPr="00D05CAB">
        <w:rPr>
          <w:rFonts w:ascii="Tahoma" w:hAnsi="Tahoma" w:cs="Tahoma"/>
        </w:rPr>
        <w:t xml:space="preserve">стоимость ценных бумаг рассчитывается за период с 25 числа календарного месяца, предшествующего месяцу, за который производится расчет, по дату расторжения (прекращения) договора. </w:t>
      </w:r>
    </w:p>
    <w:p w:rsidR="00214E6F" w:rsidRPr="00D05CAB" w:rsidRDefault="00214E6F" w:rsidP="00366598">
      <w:pPr>
        <w:widowControl/>
        <w:numPr>
          <w:ilvl w:val="0"/>
          <w:numId w:val="14"/>
        </w:numPr>
        <w:ind w:left="993" w:hanging="426"/>
        <w:jc w:val="both"/>
        <w:rPr>
          <w:rFonts w:ascii="Tahoma" w:hAnsi="Tahoma" w:cs="Tahoma"/>
        </w:rPr>
      </w:pPr>
      <w:r w:rsidRPr="00D05CAB">
        <w:rPr>
          <w:rFonts w:ascii="Tahoma" w:hAnsi="Tahoma" w:cs="Tahoma"/>
        </w:rPr>
        <w:t>стоимость ценной бумаги принимается равной последней рыночной цене (3) за предшествующий 91 календарный день, включая день, предшествующий дате расторжения (прекращения) договора;</w:t>
      </w:r>
    </w:p>
    <w:p w:rsidR="00214E6F" w:rsidRPr="00D05CAB" w:rsidRDefault="00214E6F" w:rsidP="00366598">
      <w:pPr>
        <w:widowControl/>
        <w:numPr>
          <w:ilvl w:val="0"/>
          <w:numId w:val="14"/>
        </w:numPr>
        <w:ind w:left="993" w:hanging="426"/>
        <w:jc w:val="both"/>
        <w:rPr>
          <w:rFonts w:ascii="Tahoma" w:hAnsi="Tahoma" w:cs="Tahoma"/>
        </w:rPr>
      </w:pPr>
      <w:r w:rsidRPr="00D05CAB">
        <w:rPr>
          <w:rFonts w:ascii="Tahoma" w:hAnsi="Tahoma" w:cs="Tahoma"/>
        </w:rPr>
        <w:t>для определения стоимости учитываемых на счете депо ценных бумаг, номинированных в иностранной валюте, используется курс ЦБ РФ на дату расторжения (прекращения) договора.</w:t>
      </w:r>
    </w:p>
    <w:p w:rsidR="00214E6F" w:rsidRPr="00D05CAB" w:rsidRDefault="00214E6F" w:rsidP="007E725E">
      <w:pPr>
        <w:widowControl/>
        <w:numPr>
          <w:ilvl w:val="0"/>
          <w:numId w:val="6"/>
        </w:numPr>
        <w:tabs>
          <w:tab w:val="clear" w:pos="720"/>
        </w:tabs>
        <w:ind w:left="567" w:hanging="567"/>
        <w:jc w:val="both"/>
        <w:rPr>
          <w:rFonts w:ascii="Tahoma" w:hAnsi="Tahoma" w:cs="Tahoma"/>
        </w:rPr>
      </w:pPr>
      <w:r w:rsidRPr="00D05CAB">
        <w:rPr>
          <w:rFonts w:ascii="Tahoma" w:hAnsi="Tahoma" w:cs="Tahoma"/>
        </w:rPr>
        <w:t>Стоимость услуг Депозитария НДС не облагается на основании подпункта 12.2 пункта 2 статьи 149 Налогового кодекса Российской Федерации.</w:t>
      </w:r>
    </w:p>
    <w:p w:rsidR="007311A7" w:rsidRPr="00D05CAB" w:rsidRDefault="007311A7" w:rsidP="00C533C1">
      <w:pPr>
        <w:rPr>
          <w:rFonts w:ascii="Tahoma" w:hAnsi="Tahoma" w:cs="Tahoma"/>
        </w:rPr>
      </w:pPr>
    </w:p>
    <w:sectPr w:rsidR="007311A7" w:rsidRPr="00D05CAB" w:rsidSect="003C43C1">
      <w:headerReference w:type="even" r:id="rId14"/>
      <w:headerReference w:type="default" r:id="rId15"/>
      <w:footerReference w:type="even" r:id="rId16"/>
      <w:footerReference w:type="default" r:id="rId17"/>
      <w:headerReference w:type="first" r:id="rId18"/>
      <w:footerReference w:type="first" r:id="rId19"/>
      <w:pgSz w:w="11906" w:h="16838"/>
      <w:pgMar w:top="1134" w:right="851" w:bottom="567" w:left="1701" w:header="850"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378" w:rsidRDefault="00C80378" w:rsidP="008634E7">
      <w:r>
        <w:separator/>
      </w:r>
    </w:p>
  </w:endnote>
  <w:endnote w:type="continuationSeparator" w:id="0">
    <w:p w:rsidR="00C80378" w:rsidRDefault="00C80378" w:rsidP="00863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AC1" w:rsidRDefault="00D27AC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7C7" w:rsidRDefault="000757C7" w:rsidP="000757C7">
    <w:pPr>
      <w:pStyle w:val="a5"/>
      <w:rPr>
        <w:sz w:val="16"/>
      </w:rPr>
    </w:pPr>
  </w:p>
  <w:p w:rsidR="008631D7" w:rsidRPr="00D05CAB" w:rsidRDefault="008631D7" w:rsidP="008631D7">
    <w:pPr>
      <w:pStyle w:val="a5"/>
      <w:rPr>
        <w:rFonts w:ascii="Tahoma" w:hAnsi="Tahoma" w:cs="Tahoma"/>
        <w:sz w:val="16"/>
        <w:szCs w:val="16"/>
      </w:rPr>
    </w:pPr>
    <w:r w:rsidRPr="00D05CAB">
      <w:rPr>
        <w:rFonts w:ascii="Tahoma" w:hAnsi="Tahoma" w:cs="Tahoma"/>
        <w:color w:val="FFFFFF" w:themeColor="background1"/>
        <w:sz w:val="16"/>
        <w:szCs w:val="16"/>
      </w:rPr>
      <w:t xml:space="preserve">Актуальная версия на: </w:t>
    </w:r>
    <w:r w:rsidRPr="00D05CAB">
      <w:rPr>
        <w:rFonts w:ascii="Tahoma" w:hAnsi="Tahoma" w:cs="Tahoma"/>
        <w:color w:val="FFFFFF" w:themeColor="background1"/>
        <w:sz w:val="16"/>
        <w:szCs w:val="16"/>
      </w:rPr>
      <w:fldChar w:fldCharType="begin"/>
    </w:r>
    <w:r w:rsidRPr="00D05CAB">
      <w:rPr>
        <w:rFonts w:ascii="Tahoma" w:hAnsi="Tahoma" w:cs="Tahoma"/>
        <w:color w:val="FFFFFF" w:themeColor="background1"/>
        <w:sz w:val="16"/>
        <w:szCs w:val="16"/>
      </w:rPr>
      <w:instrText xml:space="preserve"> TIME \@ "dd.MM.yyyy" </w:instrText>
    </w:r>
    <w:r w:rsidRPr="00D05CAB">
      <w:rPr>
        <w:rFonts w:ascii="Tahoma" w:hAnsi="Tahoma" w:cs="Tahoma"/>
        <w:color w:val="FFFFFF" w:themeColor="background1"/>
        <w:sz w:val="16"/>
        <w:szCs w:val="16"/>
      </w:rPr>
      <w:fldChar w:fldCharType="separate"/>
    </w:r>
    <w:r w:rsidR="00D27AC1">
      <w:rPr>
        <w:rFonts w:ascii="Tahoma" w:hAnsi="Tahoma" w:cs="Tahoma"/>
        <w:noProof/>
        <w:color w:val="FFFFFF" w:themeColor="background1"/>
        <w:sz w:val="16"/>
        <w:szCs w:val="16"/>
      </w:rPr>
      <w:t>17.12.2024</w:t>
    </w:r>
    <w:r w:rsidRPr="00D05CAB">
      <w:rPr>
        <w:rFonts w:ascii="Tahoma" w:hAnsi="Tahoma" w:cs="Tahoma"/>
        <w:color w:val="FFFFFF" w:themeColor="background1"/>
        <w:sz w:val="16"/>
        <w:szCs w:val="16"/>
      </w:rPr>
      <w:fldChar w:fldCharType="end"/>
    </w:r>
  </w:p>
  <w:p w:rsidR="004F5A22" w:rsidRPr="00D27AC1" w:rsidRDefault="004F5A22" w:rsidP="004F5A22">
    <w:pPr>
      <w:pStyle w:val="a5"/>
      <w:rPr>
        <w:rFonts w:ascii="Tahoma" w:hAnsi="Tahoma" w:cs="Tahoma"/>
        <w:color w:val="FFFFFF" w:themeColor="background1"/>
        <w:sz w:val="16"/>
        <w:szCs w:val="16"/>
      </w:rPr>
    </w:pPr>
    <w:r w:rsidRPr="00D27AC1">
      <w:rPr>
        <w:rFonts w:ascii="Tahoma" w:hAnsi="Tahoma" w:cs="Tahoma"/>
        <w:color w:val="FFFFFF" w:themeColor="background1"/>
        <w:sz w:val="16"/>
        <w:szCs w:val="16"/>
      </w:rPr>
      <w:t>Актуальная версия на:</w:t>
    </w:r>
    <w:r w:rsidRPr="00D27AC1">
      <w:rPr>
        <w:rFonts w:ascii="Tahoma" w:hAnsi="Tahoma" w:cs="Tahoma"/>
        <w:color w:val="FFFFFF" w:themeColor="background1"/>
        <w:sz w:val="16"/>
        <w:szCs w:val="16"/>
      </w:rPr>
      <w:fldChar w:fldCharType="begin"/>
    </w:r>
    <w:r w:rsidRPr="00D27AC1">
      <w:rPr>
        <w:rFonts w:ascii="Tahoma" w:hAnsi="Tahoma" w:cs="Tahoma"/>
        <w:color w:val="FFFFFF" w:themeColor="background1"/>
        <w:sz w:val="16"/>
        <w:szCs w:val="16"/>
      </w:rPr>
      <w:instrText xml:space="preserve"> TIME \@ "dd.MM.yyyy" </w:instrText>
    </w:r>
    <w:r w:rsidRPr="00D27AC1">
      <w:rPr>
        <w:rFonts w:ascii="Tahoma" w:hAnsi="Tahoma" w:cs="Tahoma"/>
        <w:color w:val="FFFFFF" w:themeColor="background1"/>
        <w:sz w:val="16"/>
        <w:szCs w:val="16"/>
      </w:rPr>
      <w:fldChar w:fldCharType="separate"/>
    </w:r>
    <w:r w:rsidR="00D27AC1" w:rsidRPr="00D27AC1">
      <w:rPr>
        <w:rFonts w:ascii="Tahoma" w:hAnsi="Tahoma" w:cs="Tahoma"/>
        <w:noProof/>
        <w:color w:val="FFFFFF" w:themeColor="background1"/>
        <w:sz w:val="16"/>
        <w:szCs w:val="16"/>
      </w:rPr>
      <w:t>17.12.2024</w:t>
    </w:r>
    <w:r w:rsidRPr="00D27AC1">
      <w:rPr>
        <w:rFonts w:ascii="Tahoma" w:hAnsi="Tahoma" w:cs="Tahoma"/>
        <w:color w:val="FFFFFF" w:themeColor="background1"/>
        <w:sz w:val="16"/>
        <w:szCs w:val="16"/>
      </w:rPr>
      <w:fldChar w:fldCharType="end"/>
    </w:r>
    <w:r w:rsidRPr="00D27AC1">
      <w:rPr>
        <w:rFonts w:ascii="Tahoma" w:hAnsi="Tahoma" w:cs="Tahoma"/>
        <w:color w:val="FFFFFF" w:themeColor="background1"/>
        <w:sz w:val="16"/>
        <w:szCs w:val="16"/>
      </w:rPr>
      <w:t xml:space="preserve">  </w:t>
    </w:r>
  </w:p>
  <w:p w:rsidR="00F2337F" w:rsidRPr="00D05CAB" w:rsidRDefault="00C20B14" w:rsidP="00DD44F3">
    <w:pPr>
      <w:pStyle w:val="a5"/>
      <w:rPr>
        <w:rFonts w:ascii="Tahoma" w:hAnsi="Tahoma" w:cs="Tahoma"/>
      </w:rPr>
    </w:pPr>
    <w:bookmarkStart w:id="2" w:name="_GoBack"/>
    <w:bookmarkEnd w:id="2"/>
    <w:r w:rsidRPr="00D05CAB">
      <w:rPr>
        <w:rFonts w:ascii="Tahoma" w:hAnsi="Tahoma" w:cs="Tahoma"/>
        <w:noProof/>
      </w:rPr>
      <mc:AlternateContent>
        <mc:Choice Requires="wps">
          <w:drawing>
            <wp:anchor distT="0" distB="0" distL="114300" distR="114300" simplePos="0" relativeHeight="251658240" behindDoc="1" locked="1" layoutInCell="0" allowOverlap="0" wp14:anchorId="7CABC70E" wp14:editId="65005BBF">
              <wp:simplePos x="0" y="0"/>
              <wp:positionH relativeFrom="page">
                <wp:posOffset>6588760</wp:posOffset>
              </wp:positionH>
              <wp:positionV relativeFrom="page">
                <wp:posOffset>10203180</wp:posOffset>
              </wp:positionV>
              <wp:extent cx="525145" cy="302260"/>
              <wp:effectExtent l="35243" t="0" r="24447" b="0"/>
              <wp:wrapNone/>
              <wp:docPr id="9"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25145" cy="302260"/>
                      </a:xfrm>
                      <a:prstGeom prst="flowChartProcess">
                        <a:avLst/>
                      </a:prstGeom>
                      <a:noFill/>
                      <a:ln>
                        <a:noFill/>
                      </a:ln>
                      <a:extLst/>
                    </wps:spPr>
                    <wps:txbx>
                      <w:txbxContent>
                        <w:p w:rsidR="00C20B14" w:rsidRPr="00E77FDF" w:rsidRDefault="00C20B14" w:rsidP="00C20B14">
                          <w:pPr>
                            <w:pStyle w:val="a3"/>
                            <w:jc w:val="center"/>
                            <w:rPr>
                              <w:rFonts w:ascii="Tahoma" w:hAnsi="Tahoma" w:cs="Tahoma"/>
                              <w:sz w:val="20"/>
                              <w:szCs w:val="20"/>
                            </w:rPr>
                          </w:pPr>
                          <w:r w:rsidRPr="00E77FDF">
                            <w:rPr>
                              <w:rFonts w:ascii="Tahoma" w:hAnsi="Tahoma" w:cs="Tahoma"/>
                              <w:sz w:val="20"/>
                              <w:szCs w:val="20"/>
                            </w:rPr>
                            <w:fldChar w:fldCharType="begin"/>
                          </w:r>
                          <w:r w:rsidRPr="00E77FDF">
                            <w:rPr>
                              <w:rFonts w:ascii="Tahoma" w:hAnsi="Tahoma" w:cs="Tahoma"/>
                              <w:sz w:val="20"/>
                              <w:szCs w:val="20"/>
                            </w:rPr>
                            <w:instrText>PAGE   \* MERGEFORMAT</w:instrText>
                          </w:r>
                          <w:r w:rsidRPr="00E77FDF">
                            <w:rPr>
                              <w:rFonts w:ascii="Tahoma" w:hAnsi="Tahoma" w:cs="Tahoma"/>
                              <w:sz w:val="20"/>
                              <w:szCs w:val="20"/>
                            </w:rPr>
                            <w:fldChar w:fldCharType="separate"/>
                          </w:r>
                          <w:r w:rsidR="00D27AC1">
                            <w:rPr>
                              <w:rFonts w:ascii="Tahoma" w:hAnsi="Tahoma" w:cs="Tahoma"/>
                              <w:noProof/>
                              <w:sz w:val="20"/>
                              <w:szCs w:val="20"/>
                            </w:rPr>
                            <w:t>2</w:t>
                          </w:r>
                          <w:r w:rsidRPr="00E77FDF">
                            <w:rPr>
                              <w:rFonts w:ascii="Tahoma" w:hAnsi="Tahoma" w:cs="Tahoma"/>
                              <w:sz w:val="20"/>
                              <w:szCs w:val="20"/>
                            </w:rPr>
                            <w:fldChar w:fldCharType="end"/>
                          </w:r>
                        </w:p>
                        <w:p w:rsidR="00C20B14" w:rsidRPr="004A6554" w:rsidRDefault="00C20B14" w:rsidP="00C20B14">
                          <w:pPr>
                            <w:rPr>
                              <w:color w:val="FFFFFF" w:themeColor="background1"/>
                              <w14:textFill>
                                <w14:noFill/>
                              </w14:textFil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87" o:spid="_x0000_s1026" type="#_x0000_t109" style="position:absolute;margin-left:518.8pt;margin-top:803.4pt;width:41.35pt;height:23.8pt;rotation:-9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" o:allowincell="f" o:allowoverlap="f" filled="f" stroked="f">
              <v:textbox>
                <w:txbxContent>
                  <w:p w:rsidR="00C20B14" w:rsidRPr="00E77FDF" w:rsidRDefault="00C20B14" w:rsidP="00C20B14">
                    <w:pPr>
                      <w:pStyle w:val="a3"/>
                      <w:jc w:val="center"/>
                      <w:rPr>
                        <w:rFonts w:ascii="Tahoma" w:hAnsi="Tahoma" w:cs="Tahoma"/>
                        <w:sz w:val="20"/>
                        <w:szCs w:val="20"/>
                      </w:rPr>
                    </w:pPr>
                    <w:r w:rsidRPr="00E77FDF">
                      <w:rPr>
                        <w:rFonts w:ascii="Tahoma" w:hAnsi="Tahoma" w:cs="Tahoma"/>
                        <w:sz w:val="20"/>
                        <w:szCs w:val="20"/>
                      </w:rPr>
                      <w:fldChar w:fldCharType="begin"/>
                    </w:r>
                    <w:r w:rsidRPr="00E77FDF">
                      <w:rPr>
                        <w:rFonts w:ascii="Tahoma" w:hAnsi="Tahoma" w:cs="Tahoma"/>
                        <w:sz w:val="20"/>
                        <w:szCs w:val="20"/>
                      </w:rPr>
                      <w:instrText>PAGE   \* MERGEFORMAT</w:instrText>
                    </w:r>
                    <w:r w:rsidRPr="00E77FDF">
                      <w:rPr>
                        <w:rFonts w:ascii="Tahoma" w:hAnsi="Tahoma" w:cs="Tahoma"/>
                        <w:sz w:val="20"/>
                        <w:szCs w:val="20"/>
                      </w:rPr>
                      <w:fldChar w:fldCharType="separate"/>
                    </w:r>
                    <w:r w:rsidR="00D27AC1">
                      <w:rPr>
                        <w:rFonts w:ascii="Tahoma" w:hAnsi="Tahoma" w:cs="Tahoma"/>
                        <w:noProof/>
                        <w:sz w:val="20"/>
                        <w:szCs w:val="20"/>
                      </w:rPr>
                      <w:t>2</w:t>
                    </w:r>
                    <w:r w:rsidRPr="00E77FDF">
                      <w:rPr>
                        <w:rFonts w:ascii="Tahoma" w:hAnsi="Tahoma" w:cs="Tahoma"/>
                        <w:sz w:val="20"/>
                        <w:szCs w:val="20"/>
                      </w:rPr>
                      <w:fldChar w:fldCharType="end"/>
                    </w:r>
                  </w:p>
                  <w:p w:rsidR="00C20B14" w:rsidRPr="004A6554" w:rsidRDefault="00C20B14" w:rsidP="00C20B14">
                    <w:pPr>
                      <w:rPr>
                        <w:color w:val="FFFFFF" w:themeColor="background1"/>
                        <w14:textFill>
                          <w14:noFill/>
                        </w14:textFill>
                      </w:rPr>
                    </w:pPr>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7C7" w:rsidRDefault="000757C7">
    <w:pPr>
      <w:pStyle w:val="a5"/>
      <w:rPr>
        <w:sz w:val="16"/>
      </w:rPr>
    </w:pPr>
  </w:p>
  <w:p w:rsidR="000757C7" w:rsidRPr="00722E2C" w:rsidRDefault="000757C7">
    <w:pPr>
      <w:pStyle w:val="a5"/>
      <w:rPr>
        <w:b/>
        <w:color w:val="C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378" w:rsidRDefault="00C80378" w:rsidP="008634E7">
      <w:r>
        <w:separator/>
      </w:r>
    </w:p>
  </w:footnote>
  <w:footnote w:type="continuationSeparator" w:id="0">
    <w:p w:rsidR="00C80378" w:rsidRDefault="00C80378" w:rsidP="008634E7">
      <w:r>
        <w:continuationSeparator/>
      </w:r>
    </w:p>
  </w:footnote>
  <w:footnote w:id="1">
    <w:p w:rsidR="009E1DF6" w:rsidRPr="00987F09" w:rsidRDefault="009E1DF6" w:rsidP="00214E6F">
      <w:pPr>
        <w:pStyle w:val="af3"/>
        <w:ind w:left="284" w:hanging="284"/>
        <w:jc w:val="both"/>
        <w:rPr>
          <w:rFonts w:ascii="Verdana" w:hAnsi="Verdana"/>
          <w:sz w:val="13"/>
          <w:szCs w:val="13"/>
        </w:rPr>
      </w:pPr>
      <w:r w:rsidRPr="00987F09">
        <w:rPr>
          <w:rStyle w:val="af5"/>
          <w:rFonts w:ascii="Verdana" w:hAnsi="Verdana"/>
          <w:sz w:val="13"/>
          <w:szCs w:val="13"/>
        </w:rPr>
        <w:footnoteRef/>
      </w:r>
      <w:r>
        <w:rPr>
          <w:rFonts w:ascii="Verdana" w:hAnsi="Verdana"/>
          <w:sz w:val="13"/>
          <w:szCs w:val="13"/>
        </w:rPr>
        <w:t xml:space="preserve">  </w:t>
      </w:r>
      <w:r w:rsidRPr="00987F09">
        <w:rPr>
          <w:rFonts w:ascii="Verdana" w:hAnsi="Verdana"/>
          <w:sz w:val="13"/>
          <w:szCs w:val="13"/>
        </w:rPr>
        <w:t>При наличии ценных бумаг на счете депо в течение периода, за который производится расчет стоимости услуг.</w:t>
      </w:r>
    </w:p>
  </w:footnote>
  <w:footnote w:id="2">
    <w:p w:rsidR="009E1DF6" w:rsidRPr="00987F09" w:rsidRDefault="009E1DF6" w:rsidP="00214E6F">
      <w:pPr>
        <w:pStyle w:val="af3"/>
        <w:tabs>
          <w:tab w:val="left" w:pos="360"/>
        </w:tabs>
        <w:ind w:left="284"/>
        <w:jc w:val="both"/>
        <w:rPr>
          <w:rFonts w:ascii="Verdana" w:hAnsi="Verdana"/>
          <w:sz w:val="13"/>
          <w:szCs w:val="13"/>
        </w:rPr>
      </w:pPr>
      <w:r w:rsidRPr="00987F09">
        <w:rPr>
          <w:rStyle w:val="af5"/>
          <w:rFonts w:ascii="Verdana" w:hAnsi="Verdana"/>
          <w:sz w:val="13"/>
          <w:szCs w:val="13"/>
        </w:rPr>
        <w:footnoteRef/>
      </w:r>
      <w:r w:rsidRPr="00987F09">
        <w:rPr>
          <w:rFonts w:ascii="Verdana" w:hAnsi="Verdana"/>
          <w:sz w:val="13"/>
          <w:szCs w:val="13"/>
        </w:rPr>
        <w:t xml:space="preserve"> При наличии ценных бумаг на счете депо в течение периода, за который производится расчет стоимости услуг.</w:t>
      </w:r>
    </w:p>
  </w:footnote>
  <w:footnote w:id="3">
    <w:p w:rsidR="009E1DF6" w:rsidRPr="00D05CAB" w:rsidRDefault="009E1DF6" w:rsidP="00577228">
      <w:pPr>
        <w:pStyle w:val="af3"/>
        <w:jc w:val="both"/>
        <w:rPr>
          <w:rFonts w:ascii="Tahoma" w:hAnsi="Tahoma" w:cs="Tahoma"/>
          <w:sz w:val="16"/>
          <w:szCs w:val="16"/>
        </w:rPr>
      </w:pPr>
      <w:r w:rsidRPr="00D05CAB">
        <w:rPr>
          <w:rStyle w:val="af5"/>
          <w:rFonts w:ascii="Tahoma" w:hAnsi="Tahoma" w:cs="Tahoma"/>
          <w:sz w:val="16"/>
          <w:szCs w:val="16"/>
        </w:rPr>
        <w:footnoteRef/>
      </w:r>
      <w:r w:rsidRPr="00D05CAB">
        <w:rPr>
          <w:rFonts w:ascii="Tahoma" w:hAnsi="Tahoma" w:cs="Tahoma"/>
          <w:sz w:val="16"/>
          <w:szCs w:val="16"/>
        </w:rPr>
        <w:t xml:space="preserve"> Стоимость услуги включает проведение необходимых депозитарных операций (фиксация ограничения распоряжения ценными бумагами, фиксация снятия ограничения распоряжения ценными бумагами, снятие ценных бумаг с учета и/или хранения, прием ценных бумаг на учет /или хранение и т.д.).</w:t>
      </w:r>
    </w:p>
  </w:footnote>
  <w:footnote w:id="4">
    <w:p w:rsidR="009E1DF6" w:rsidRPr="00D05CAB" w:rsidRDefault="009E1DF6" w:rsidP="00577228">
      <w:pPr>
        <w:pStyle w:val="af3"/>
        <w:jc w:val="both"/>
        <w:rPr>
          <w:rFonts w:ascii="Tahoma" w:hAnsi="Tahoma" w:cs="Tahoma"/>
          <w:sz w:val="16"/>
          <w:szCs w:val="16"/>
        </w:rPr>
      </w:pPr>
      <w:r w:rsidRPr="00D05CAB">
        <w:rPr>
          <w:rStyle w:val="af5"/>
          <w:rFonts w:ascii="Tahoma" w:hAnsi="Tahoma" w:cs="Tahoma"/>
          <w:sz w:val="16"/>
          <w:szCs w:val="16"/>
        </w:rPr>
        <w:footnoteRef/>
      </w:r>
      <w:r w:rsidRPr="00D05CAB">
        <w:rPr>
          <w:rFonts w:ascii="Tahoma" w:hAnsi="Tahoma" w:cs="Tahoma"/>
          <w:sz w:val="16"/>
          <w:szCs w:val="16"/>
        </w:rPr>
        <w:t xml:space="preserve"> Платежное поручение формируется для выплаты дохода по каждому выпуску ценных бумаг. В случае если в один день производится выплата по нескольким выпускам ценных бумаг, сумма платежей не суммируется - количество платежных поручений равно </w:t>
      </w:r>
      <w:r w:rsidR="005C10BD" w:rsidRPr="00D05CAB">
        <w:rPr>
          <w:rFonts w:ascii="Tahoma" w:hAnsi="Tahoma" w:cs="Tahoma"/>
          <w:sz w:val="16"/>
          <w:szCs w:val="16"/>
        </w:rPr>
        <w:t>количеству выпусков ценных бумаг,</w:t>
      </w:r>
      <w:r w:rsidRPr="00D05CAB">
        <w:rPr>
          <w:rFonts w:ascii="Tahoma" w:hAnsi="Tahoma" w:cs="Tahoma"/>
          <w:sz w:val="16"/>
          <w:szCs w:val="16"/>
        </w:rPr>
        <w:t xml:space="preserve"> по которым производится выплата. Не применяется при перечислении доходов и иных выплат по ценным бумагам, составляющим имущество ПИФ. </w:t>
      </w:r>
    </w:p>
  </w:footnote>
  <w:footnote w:id="5">
    <w:p w:rsidR="00214E6F" w:rsidRPr="00D05CAB" w:rsidRDefault="00214E6F" w:rsidP="00214E6F">
      <w:pPr>
        <w:pStyle w:val="af3"/>
        <w:jc w:val="both"/>
        <w:rPr>
          <w:rFonts w:ascii="Tahoma" w:hAnsi="Tahoma" w:cs="Tahoma"/>
          <w:sz w:val="16"/>
          <w:szCs w:val="16"/>
        </w:rPr>
      </w:pPr>
      <w:r w:rsidRPr="00D05CAB">
        <w:rPr>
          <w:rStyle w:val="af5"/>
          <w:rFonts w:ascii="Tahoma" w:hAnsi="Tahoma" w:cs="Tahoma"/>
          <w:sz w:val="16"/>
          <w:szCs w:val="16"/>
        </w:rPr>
        <w:footnoteRef/>
      </w:r>
      <w:r w:rsidRPr="00D05CAB">
        <w:rPr>
          <w:rFonts w:ascii="Tahoma" w:hAnsi="Tahoma" w:cs="Tahoma"/>
          <w:sz w:val="16"/>
          <w:szCs w:val="16"/>
        </w:rPr>
        <w:t xml:space="preserve"> Контроль за осуществлением Депозитарием валютных операций (валютный контроль) осуществляется кредитной организацией при поступлении на расчетный счет Депозитария денежных средств в иностранной валюте, при осуществлении Депозитарием перевода денежных средств в иностранной валюте, при осуществлении Депозитарием перевода денежных сре</w:t>
      </w:r>
      <w:proofErr w:type="gramStart"/>
      <w:r w:rsidRPr="00D05CAB">
        <w:rPr>
          <w:rFonts w:ascii="Tahoma" w:hAnsi="Tahoma" w:cs="Tahoma"/>
          <w:sz w:val="16"/>
          <w:szCs w:val="16"/>
        </w:rPr>
        <w:t>дств в в</w:t>
      </w:r>
      <w:proofErr w:type="gramEnd"/>
      <w:r w:rsidRPr="00D05CAB">
        <w:rPr>
          <w:rFonts w:ascii="Tahoma" w:hAnsi="Tahoma" w:cs="Tahoma"/>
          <w:sz w:val="16"/>
          <w:szCs w:val="16"/>
        </w:rPr>
        <w:t>алюте Российской Федерации в пользу нерезидента. В случае если поступившие Депозитарию денежные средства предназначены для выплаты нескольким Депонентам, стоимость услуг кредитной организации по осуществлению функций агента валютного контроля, проводимого при поступлении денежных средств, распределяется между Депонентами пропорционально суммам, подлежащим выплате каждому из них.</w:t>
      </w:r>
    </w:p>
  </w:footnote>
  <w:footnote w:id="6">
    <w:p w:rsidR="00214E6F" w:rsidRPr="00D05CAB" w:rsidRDefault="00214E6F" w:rsidP="00214E6F">
      <w:pPr>
        <w:pStyle w:val="af3"/>
        <w:jc w:val="both"/>
        <w:rPr>
          <w:rFonts w:ascii="Tahoma" w:hAnsi="Tahoma" w:cs="Tahoma"/>
          <w:sz w:val="16"/>
          <w:szCs w:val="16"/>
        </w:rPr>
      </w:pPr>
      <w:r w:rsidRPr="00D05CAB">
        <w:rPr>
          <w:rStyle w:val="af5"/>
          <w:rFonts w:ascii="Tahoma" w:hAnsi="Tahoma" w:cs="Tahoma"/>
          <w:sz w:val="16"/>
          <w:szCs w:val="16"/>
        </w:rPr>
        <w:footnoteRef/>
      </w:r>
      <w:r w:rsidRPr="00D05CAB">
        <w:rPr>
          <w:rFonts w:ascii="Tahoma" w:hAnsi="Tahoma" w:cs="Tahoma"/>
          <w:sz w:val="16"/>
          <w:szCs w:val="16"/>
        </w:rPr>
        <w:t xml:space="preserve"> Вышестоящим признается депозитарий, в котором </w:t>
      </w:r>
      <w:r w:rsidR="007E5D77">
        <w:rPr>
          <w:rFonts w:ascii="Tahoma" w:hAnsi="Tahoma" w:cs="Tahoma"/>
          <w:sz w:val="16"/>
          <w:szCs w:val="16"/>
        </w:rPr>
        <w:t>ООО</w:t>
      </w:r>
      <w:r w:rsidRPr="00D05CAB">
        <w:rPr>
          <w:rFonts w:ascii="Tahoma" w:hAnsi="Tahoma" w:cs="Tahoma"/>
          <w:sz w:val="16"/>
          <w:szCs w:val="16"/>
        </w:rPr>
        <w:t xml:space="preserve"> «</w:t>
      </w:r>
      <w:r w:rsidR="007E5D77">
        <w:rPr>
          <w:rFonts w:ascii="Tahoma" w:hAnsi="Tahoma" w:cs="Tahoma"/>
          <w:sz w:val="16"/>
          <w:szCs w:val="16"/>
        </w:rPr>
        <w:t>НЭКСТ</w:t>
      </w:r>
      <w:r w:rsidRPr="00D05CAB">
        <w:rPr>
          <w:rFonts w:ascii="Tahoma" w:hAnsi="Tahoma" w:cs="Tahoma"/>
          <w:sz w:val="16"/>
          <w:szCs w:val="16"/>
        </w:rPr>
        <w:t xml:space="preserve">» открыт счет номинального держателя или счет лица, действующего в интересах других лиц для обеспечения учета прав на ценные бумаги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AC1" w:rsidRDefault="00D27AC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AC1" w:rsidRDefault="00D27AC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AC1" w:rsidRDefault="00D27AC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D6610"/>
    <w:multiLevelType w:val="hybridMultilevel"/>
    <w:tmpl w:val="5C081F96"/>
    <w:lvl w:ilvl="0" w:tplc="0419000F">
      <w:start w:val="1"/>
      <w:numFmt w:val="decimal"/>
      <w:lvlText w:val="%1."/>
      <w:lvlJc w:val="left"/>
      <w:pPr>
        <w:tabs>
          <w:tab w:val="num" w:pos="720"/>
        </w:tabs>
        <w:ind w:left="720" w:hanging="360"/>
      </w:pPr>
    </w:lvl>
    <w:lvl w:ilvl="1" w:tplc="796698FA">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EF357C"/>
    <w:multiLevelType w:val="hybridMultilevel"/>
    <w:tmpl w:val="2FE489E8"/>
    <w:lvl w:ilvl="0" w:tplc="119C136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1253E3"/>
    <w:multiLevelType w:val="hybridMultilevel"/>
    <w:tmpl w:val="058E79D0"/>
    <w:lvl w:ilvl="0" w:tplc="9D2874E6">
      <w:start w:val="1"/>
      <w:numFmt w:val="bullet"/>
      <w:lvlText w:val=""/>
      <w:lvlJc w:val="left"/>
      <w:pPr>
        <w:tabs>
          <w:tab w:val="num" w:pos="1710"/>
        </w:tabs>
        <w:ind w:left="1710" w:hanging="360"/>
      </w:pPr>
      <w:rPr>
        <w:rFonts w:ascii="Symbol" w:hAnsi="Symbol" w:hint="default"/>
        <w:color w:val="auto"/>
      </w:rPr>
    </w:lvl>
    <w:lvl w:ilvl="1" w:tplc="04190003" w:tentative="1">
      <w:start w:val="1"/>
      <w:numFmt w:val="bullet"/>
      <w:lvlText w:val="o"/>
      <w:lvlJc w:val="left"/>
      <w:pPr>
        <w:tabs>
          <w:tab w:val="num" w:pos="1540"/>
        </w:tabs>
        <w:ind w:left="1540" w:hanging="360"/>
      </w:pPr>
      <w:rPr>
        <w:rFonts w:ascii="Courier New" w:hAnsi="Courier New" w:cs="Courier New" w:hint="default"/>
      </w:rPr>
    </w:lvl>
    <w:lvl w:ilvl="2" w:tplc="04190005" w:tentative="1">
      <w:start w:val="1"/>
      <w:numFmt w:val="bullet"/>
      <w:lvlText w:val=""/>
      <w:lvlJc w:val="left"/>
      <w:pPr>
        <w:tabs>
          <w:tab w:val="num" w:pos="2260"/>
        </w:tabs>
        <w:ind w:left="2260" w:hanging="360"/>
      </w:pPr>
      <w:rPr>
        <w:rFonts w:ascii="Wingdings" w:hAnsi="Wingdings" w:hint="default"/>
      </w:rPr>
    </w:lvl>
    <w:lvl w:ilvl="3" w:tplc="04190001" w:tentative="1">
      <w:start w:val="1"/>
      <w:numFmt w:val="bullet"/>
      <w:lvlText w:val=""/>
      <w:lvlJc w:val="left"/>
      <w:pPr>
        <w:tabs>
          <w:tab w:val="num" w:pos="2980"/>
        </w:tabs>
        <w:ind w:left="2980" w:hanging="360"/>
      </w:pPr>
      <w:rPr>
        <w:rFonts w:ascii="Symbol" w:hAnsi="Symbol" w:hint="default"/>
      </w:rPr>
    </w:lvl>
    <w:lvl w:ilvl="4" w:tplc="04190003" w:tentative="1">
      <w:start w:val="1"/>
      <w:numFmt w:val="bullet"/>
      <w:lvlText w:val="o"/>
      <w:lvlJc w:val="left"/>
      <w:pPr>
        <w:tabs>
          <w:tab w:val="num" w:pos="3700"/>
        </w:tabs>
        <w:ind w:left="3700" w:hanging="360"/>
      </w:pPr>
      <w:rPr>
        <w:rFonts w:ascii="Courier New" w:hAnsi="Courier New" w:cs="Courier New" w:hint="default"/>
      </w:rPr>
    </w:lvl>
    <w:lvl w:ilvl="5" w:tplc="04190005" w:tentative="1">
      <w:start w:val="1"/>
      <w:numFmt w:val="bullet"/>
      <w:lvlText w:val=""/>
      <w:lvlJc w:val="left"/>
      <w:pPr>
        <w:tabs>
          <w:tab w:val="num" w:pos="4420"/>
        </w:tabs>
        <w:ind w:left="4420" w:hanging="360"/>
      </w:pPr>
      <w:rPr>
        <w:rFonts w:ascii="Wingdings" w:hAnsi="Wingdings" w:hint="default"/>
      </w:rPr>
    </w:lvl>
    <w:lvl w:ilvl="6" w:tplc="04190001" w:tentative="1">
      <w:start w:val="1"/>
      <w:numFmt w:val="bullet"/>
      <w:lvlText w:val=""/>
      <w:lvlJc w:val="left"/>
      <w:pPr>
        <w:tabs>
          <w:tab w:val="num" w:pos="5140"/>
        </w:tabs>
        <w:ind w:left="5140" w:hanging="360"/>
      </w:pPr>
      <w:rPr>
        <w:rFonts w:ascii="Symbol" w:hAnsi="Symbol" w:hint="default"/>
      </w:rPr>
    </w:lvl>
    <w:lvl w:ilvl="7" w:tplc="04190003" w:tentative="1">
      <w:start w:val="1"/>
      <w:numFmt w:val="bullet"/>
      <w:lvlText w:val="o"/>
      <w:lvlJc w:val="left"/>
      <w:pPr>
        <w:tabs>
          <w:tab w:val="num" w:pos="5860"/>
        </w:tabs>
        <w:ind w:left="5860" w:hanging="360"/>
      </w:pPr>
      <w:rPr>
        <w:rFonts w:ascii="Courier New" w:hAnsi="Courier New" w:cs="Courier New" w:hint="default"/>
      </w:rPr>
    </w:lvl>
    <w:lvl w:ilvl="8" w:tplc="04190005" w:tentative="1">
      <w:start w:val="1"/>
      <w:numFmt w:val="bullet"/>
      <w:lvlText w:val=""/>
      <w:lvlJc w:val="left"/>
      <w:pPr>
        <w:tabs>
          <w:tab w:val="num" w:pos="6580"/>
        </w:tabs>
        <w:ind w:left="6580" w:hanging="360"/>
      </w:pPr>
      <w:rPr>
        <w:rFonts w:ascii="Wingdings" w:hAnsi="Wingdings" w:hint="default"/>
      </w:rPr>
    </w:lvl>
  </w:abstractNum>
  <w:abstractNum w:abstractNumId="3">
    <w:nsid w:val="17D4626B"/>
    <w:multiLevelType w:val="hybridMultilevel"/>
    <w:tmpl w:val="909C2870"/>
    <w:lvl w:ilvl="0" w:tplc="ADC2919C">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B3873BC"/>
    <w:multiLevelType w:val="hybridMultilevel"/>
    <w:tmpl w:val="5C081F96"/>
    <w:lvl w:ilvl="0" w:tplc="0419000F">
      <w:start w:val="1"/>
      <w:numFmt w:val="decimal"/>
      <w:lvlText w:val="%1."/>
      <w:lvlJc w:val="left"/>
      <w:pPr>
        <w:tabs>
          <w:tab w:val="num" w:pos="720"/>
        </w:tabs>
        <w:ind w:left="720" w:hanging="360"/>
      </w:pPr>
    </w:lvl>
    <w:lvl w:ilvl="1" w:tplc="796698FA">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BED5C78"/>
    <w:multiLevelType w:val="hybridMultilevel"/>
    <w:tmpl w:val="84B0E2B0"/>
    <w:lvl w:ilvl="0" w:tplc="ECC631B2">
      <w:start w:val="1"/>
      <w:numFmt w:val="decimal"/>
      <w:lvlText w:val="%1."/>
      <w:lvlJc w:val="left"/>
      <w:pPr>
        <w:ind w:left="420" w:hanging="360"/>
      </w:pPr>
      <w:rPr>
        <w:rFonts w:hint="default"/>
      </w:rPr>
    </w:lvl>
    <w:lvl w:ilvl="1" w:tplc="B6D6E4E0">
      <w:start w:val="1"/>
      <w:numFmt w:val="bullet"/>
      <w:lvlText w:val="-"/>
      <w:lvlJc w:val="left"/>
      <w:pPr>
        <w:ind w:left="1140" w:hanging="360"/>
      </w:pPr>
      <w:rPr>
        <w:rFonts w:ascii="Courier New" w:hAnsi="Courier New" w:hint="default"/>
      </w:r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nsid w:val="395A7070"/>
    <w:multiLevelType w:val="hybridMultilevel"/>
    <w:tmpl w:val="71CAED40"/>
    <w:lvl w:ilvl="0" w:tplc="2FF2CBE4">
      <w:start w:val="1"/>
      <w:numFmt w:val="bullet"/>
      <w:lvlText w:val=""/>
      <w:lvlJc w:val="left"/>
      <w:pPr>
        <w:tabs>
          <w:tab w:val="num" w:pos="1710"/>
        </w:tabs>
        <w:ind w:left="1710" w:hanging="360"/>
      </w:pPr>
      <w:rPr>
        <w:rFonts w:ascii="Wingdings" w:hAnsi="Wingdings" w:hint="default"/>
        <w:color w:val="auto"/>
      </w:rPr>
    </w:lvl>
    <w:lvl w:ilvl="1" w:tplc="04190003" w:tentative="1">
      <w:start w:val="1"/>
      <w:numFmt w:val="bullet"/>
      <w:lvlText w:val="o"/>
      <w:lvlJc w:val="left"/>
      <w:pPr>
        <w:tabs>
          <w:tab w:val="num" w:pos="1540"/>
        </w:tabs>
        <w:ind w:left="1540" w:hanging="360"/>
      </w:pPr>
      <w:rPr>
        <w:rFonts w:ascii="Courier New" w:hAnsi="Courier New" w:cs="Courier New" w:hint="default"/>
      </w:rPr>
    </w:lvl>
    <w:lvl w:ilvl="2" w:tplc="04190005" w:tentative="1">
      <w:start w:val="1"/>
      <w:numFmt w:val="bullet"/>
      <w:lvlText w:val=""/>
      <w:lvlJc w:val="left"/>
      <w:pPr>
        <w:tabs>
          <w:tab w:val="num" w:pos="2260"/>
        </w:tabs>
        <w:ind w:left="2260" w:hanging="360"/>
      </w:pPr>
      <w:rPr>
        <w:rFonts w:ascii="Wingdings" w:hAnsi="Wingdings" w:hint="default"/>
      </w:rPr>
    </w:lvl>
    <w:lvl w:ilvl="3" w:tplc="04190001" w:tentative="1">
      <w:start w:val="1"/>
      <w:numFmt w:val="bullet"/>
      <w:lvlText w:val=""/>
      <w:lvlJc w:val="left"/>
      <w:pPr>
        <w:tabs>
          <w:tab w:val="num" w:pos="2980"/>
        </w:tabs>
        <w:ind w:left="2980" w:hanging="360"/>
      </w:pPr>
      <w:rPr>
        <w:rFonts w:ascii="Symbol" w:hAnsi="Symbol" w:hint="default"/>
      </w:rPr>
    </w:lvl>
    <w:lvl w:ilvl="4" w:tplc="04190003" w:tentative="1">
      <w:start w:val="1"/>
      <w:numFmt w:val="bullet"/>
      <w:lvlText w:val="o"/>
      <w:lvlJc w:val="left"/>
      <w:pPr>
        <w:tabs>
          <w:tab w:val="num" w:pos="3700"/>
        </w:tabs>
        <w:ind w:left="3700" w:hanging="360"/>
      </w:pPr>
      <w:rPr>
        <w:rFonts w:ascii="Courier New" w:hAnsi="Courier New" w:cs="Courier New" w:hint="default"/>
      </w:rPr>
    </w:lvl>
    <w:lvl w:ilvl="5" w:tplc="04190005" w:tentative="1">
      <w:start w:val="1"/>
      <w:numFmt w:val="bullet"/>
      <w:lvlText w:val=""/>
      <w:lvlJc w:val="left"/>
      <w:pPr>
        <w:tabs>
          <w:tab w:val="num" w:pos="4420"/>
        </w:tabs>
        <w:ind w:left="4420" w:hanging="360"/>
      </w:pPr>
      <w:rPr>
        <w:rFonts w:ascii="Wingdings" w:hAnsi="Wingdings" w:hint="default"/>
      </w:rPr>
    </w:lvl>
    <w:lvl w:ilvl="6" w:tplc="04190001" w:tentative="1">
      <w:start w:val="1"/>
      <w:numFmt w:val="bullet"/>
      <w:lvlText w:val=""/>
      <w:lvlJc w:val="left"/>
      <w:pPr>
        <w:tabs>
          <w:tab w:val="num" w:pos="5140"/>
        </w:tabs>
        <w:ind w:left="5140" w:hanging="360"/>
      </w:pPr>
      <w:rPr>
        <w:rFonts w:ascii="Symbol" w:hAnsi="Symbol" w:hint="default"/>
      </w:rPr>
    </w:lvl>
    <w:lvl w:ilvl="7" w:tplc="04190003" w:tentative="1">
      <w:start w:val="1"/>
      <w:numFmt w:val="bullet"/>
      <w:lvlText w:val="o"/>
      <w:lvlJc w:val="left"/>
      <w:pPr>
        <w:tabs>
          <w:tab w:val="num" w:pos="5860"/>
        </w:tabs>
        <w:ind w:left="5860" w:hanging="360"/>
      </w:pPr>
      <w:rPr>
        <w:rFonts w:ascii="Courier New" w:hAnsi="Courier New" w:cs="Courier New" w:hint="default"/>
      </w:rPr>
    </w:lvl>
    <w:lvl w:ilvl="8" w:tplc="04190005" w:tentative="1">
      <w:start w:val="1"/>
      <w:numFmt w:val="bullet"/>
      <w:lvlText w:val=""/>
      <w:lvlJc w:val="left"/>
      <w:pPr>
        <w:tabs>
          <w:tab w:val="num" w:pos="6580"/>
        </w:tabs>
        <w:ind w:left="6580" w:hanging="360"/>
      </w:pPr>
      <w:rPr>
        <w:rFonts w:ascii="Wingdings" w:hAnsi="Wingdings" w:hint="default"/>
      </w:rPr>
    </w:lvl>
  </w:abstractNum>
  <w:abstractNum w:abstractNumId="7">
    <w:nsid w:val="3ECB4399"/>
    <w:multiLevelType w:val="hybridMultilevel"/>
    <w:tmpl w:val="ADDA0694"/>
    <w:lvl w:ilvl="0" w:tplc="ECC631B2">
      <w:start w:val="1"/>
      <w:numFmt w:val="decimal"/>
      <w:lvlText w:val="%1."/>
      <w:lvlJc w:val="left"/>
      <w:pPr>
        <w:ind w:left="420" w:hanging="360"/>
      </w:pPr>
      <w:rPr>
        <w:rFonts w:hint="default"/>
      </w:rPr>
    </w:lvl>
    <w:lvl w:ilvl="1" w:tplc="04190001">
      <w:start w:val="1"/>
      <w:numFmt w:val="bullet"/>
      <w:lvlText w:val=""/>
      <w:lvlJc w:val="left"/>
      <w:pPr>
        <w:ind w:left="1140" w:hanging="360"/>
      </w:pPr>
      <w:rPr>
        <w:rFonts w:ascii="Symbol" w:hAnsi="Symbol" w:hint="default"/>
      </w:rPr>
    </w:lvl>
    <w:lvl w:ilvl="2" w:tplc="04190003">
      <w:start w:val="1"/>
      <w:numFmt w:val="bullet"/>
      <w:lvlText w:val="o"/>
      <w:lvlJc w:val="left"/>
      <w:pPr>
        <w:ind w:left="1860" w:hanging="180"/>
      </w:pPr>
      <w:rPr>
        <w:rFonts w:ascii="Courier New" w:hAnsi="Courier New" w:cs="Courier New" w:hint="default"/>
      </w:r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8">
    <w:nsid w:val="4166241E"/>
    <w:multiLevelType w:val="hybridMultilevel"/>
    <w:tmpl w:val="AE22F70E"/>
    <w:lvl w:ilvl="0" w:tplc="119C136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4FC351E"/>
    <w:multiLevelType w:val="hybridMultilevel"/>
    <w:tmpl w:val="E262721E"/>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49230114"/>
    <w:multiLevelType w:val="hybridMultilevel"/>
    <w:tmpl w:val="022ED66C"/>
    <w:lvl w:ilvl="0" w:tplc="04190005">
      <w:start w:val="1"/>
      <w:numFmt w:val="bullet"/>
      <w:lvlText w:val=""/>
      <w:lvlJc w:val="left"/>
      <w:pPr>
        <w:ind w:left="1005" w:hanging="360"/>
      </w:pPr>
      <w:rPr>
        <w:rFonts w:ascii="Wingdings" w:hAnsi="Wingdings"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11">
    <w:nsid w:val="5933363D"/>
    <w:multiLevelType w:val="hybridMultilevel"/>
    <w:tmpl w:val="E0C8D96A"/>
    <w:lvl w:ilvl="0" w:tplc="4C92E2E2">
      <w:start w:val="1"/>
      <w:numFmt w:val="bullet"/>
      <w:lvlText w:val=""/>
      <w:lvlJc w:val="left"/>
      <w:pPr>
        <w:ind w:left="1005" w:hanging="360"/>
      </w:pPr>
      <w:rPr>
        <w:rFonts w:ascii="Symbol" w:hAnsi="Symbol" w:hint="default"/>
        <w:color w:val="943634"/>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12">
    <w:nsid w:val="59DC14E0"/>
    <w:multiLevelType w:val="hybridMultilevel"/>
    <w:tmpl w:val="854E8BCA"/>
    <w:lvl w:ilvl="0" w:tplc="DEC232A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3">
    <w:nsid w:val="650D793E"/>
    <w:multiLevelType w:val="hybridMultilevel"/>
    <w:tmpl w:val="648A620E"/>
    <w:lvl w:ilvl="0" w:tplc="796698FA">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16E23ED8">
      <w:start w:val="1"/>
      <w:numFmt w:val="bullet"/>
      <w:lvlText w:val=""/>
      <w:lvlJc w:val="left"/>
      <w:pPr>
        <w:tabs>
          <w:tab w:val="num" w:pos="2160"/>
        </w:tabs>
        <w:ind w:left="2160" w:hanging="360"/>
      </w:pPr>
      <w:rPr>
        <w:rFonts w:ascii="Wingdings" w:hAnsi="Wingdings" w:hint="default"/>
        <w:color w:val="auto"/>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602707E"/>
    <w:multiLevelType w:val="hybridMultilevel"/>
    <w:tmpl w:val="EA5C8164"/>
    <w:lvl w:ilvl="0" w:tplc="4C92E2E2">
      <w:start w:val="1"/>
      <w:numFmt w:val="bullet"/>
      <w:lvlText w:val=""/>
      <w:lvlJc w:val="left"/>
      <w:pPr>
        <w:tabs>
          <w:tab w:val="num" w:pos="1710"/>
        </w:tabs>
        <w:ind w:left="1710" w:hanging="360"/>
      </w:pPr>
      <w:rPr>
        <w:rFonts w:ascii="Symbol" w:hAnsi="Symbol" w:hint="default"/>
        <w:color w:val="943634"/>
      </w:rPr>
    </w:lvl>
    <w:lvl w:ilvl="1" w:tplc="04190003" w:tentative="1">
      <w:start w:val="1"/>
      <w:numFmt w:val="bullet"/>
      <w:lvlText w:val="o"/>
      <w:lvlJc w:val="left"/>
      <w:pPr>
        <w:tabs>
          <w:tab w:val="num" w:pos="1540"/>
        </w:tabs>
        <w:ind w:left="1540" w:hanging="360"/>
      </w:pPr>
      <w:rPr>
        <w:rFonts w:ascii="Courier New" w:hAnsi="Courier New" w:cs="Courier New" w:hint="default"/>
      </w:rPr>
    </w:lvl>
    <w:lvl w:ilvl="2" w:tplc="04190005" w:tentative="1">
      <w:start w:val="1"/>
      <w:numFmt w:val="bullet"/>
      <w:lvlText w:val=""/>
      <w:lvlJc w:val="left"/>
      <w:pPr>
        <w:tabs>
          <w:tab w:val="num" w:pos="2260"/>
        </w:tabs>
        <w:ind w:left="2260" w:hanging="360"/>
      </w:pPr>
      <w:rPr>
        <w:rFonts w:ascii="Wingdings" w:hAnsi="Wingdings" w:hint="default"/>
      </w:rPr>
    </w:lvl>
    <w:lvl w:ilvl="3" w:tplc="04190001" w:tentative="1">
      <w:start w:val="1"/>
      <w:numFmt w:val="bullet"/>
      <w:lvlText w:val=""/>
      <w:lvlJc w:val="left"/>
      <w:pPr>
        <w:tabs>
          <w:tab w:val="num" w:pos="2980"/>
        </w:tabs>
        <w:ind w:left="2980" w:hanging="360"/>
      </w:pPr>
      <w:rPr>
        <w:rFonts w:ascii="Symbol" w:hAnsi="Symbol" w:hint="default"/>
      </w:rPr>
    </w:lvl>
    <w:lvl w:ilvl="4" w:tplc="04190003" w:tentative="1">
      <w:start w:val="1"/>
      <w:numFmt w:val="bullet"/>
      <w:lvlText w:val="o"/>
      <w:lvlJc w:val="left"/>
      <w:pPr>
        <w:tabs>
          <w:tab w:val="num" w:pos="3700"/>
        </w:tabs>
        <w:ind w:left="3700" w:hanging="360"/>
      </w:pPr>
      <w:rPr>
        <w:rFonts w:ascii="Courier New" w:hAnsi="Courier New" w:cs="Courier New" w:hint="default"/>
      </w:rPr>
    </w:lvl>
    <w:lvl w:ilvl="5" w:tplc="04190005" w:tentative="1">
      <w:start w:val="1"/>
      <w:numFmt w:val="bullet"/>
      <w:lvlText w:val=""/>
      <w:lvlJc w:val="left"/>
      <w:pPr>
        <w:tabs>
          <w:tab w:val="num" w:pos="4420"/>
        </w:tabs>
        <w:ind w:left="4420" w:hanging="360"/>
      </w:pPr>
      <w:rPr>
        <w:rFonts w:ascii="Wingdings" w:hAnsi="Wingdings" w:hint="default"/>
      </w:rPr>
    </w:lvl>
    <w:lvl w:ilvl="6" w:tplc="04190001" w:tentative="1">
      <w:start w:val="1"/>
      <w:numFmt w:val="bullet"/>
      <w:lvlText w:val=""/>
      <w:lvlJc w:val="left"/>
      <w:pPr>
        <w:tabs>
          <w:tab w:val="num" w:pos="5140"/>
        </w:tabs>
        <w:ind w:left="5140" w:hanging="360"/>
      </w:pPr>
      <w:rPr>
        <w:rFonts w:ascii="Symbol" w:hAnsi="Symbol" w:hint="default"/>
      </w:rPr>
    </w:lvl>
    <w:lvl w:ilvl="7" w:tplc="04190003" w:tentative="1">
      <w:start w:val="1"/>
      <w:numFmt w:val="bullet"/>
      <w:lvlText w:val="o"/>
      <w:lvlJc w:val="left"/>
      <w:pPr>
        <w:tabs>
          <w:tab w:val="num" w:pos="5860"/>
        </w:tabs>
        <w:ind w:left="5860" w:hanging="360"/>
      </w:pPr>
      <w:rPr>
        <w:rFonts w:ascii="Courier New" w:hAnsi="Courier New" w:cs="Courier New" w:hint="default"/>
      </w:rPr>
    </w:lvl>
    <w:lvl w:ilvl="8" w:tplc="04190005" w:tentative="1">
      <w:start w:val="1"/>
      <w:numFmt w:val="bullet"/>
      <w:lvlText w:val=""/>
      <w:lvlJc w:val="left"/>
      <w:pPr>
        <w:tabs>
          <w:tab w:val="num" w:pos="6580"/>
        </w:tabs>
        <w:ind w:left="6580" w:hanging="360"/>
      </w:pPr>
      <w:rPr>
        <w:rFonts w:ascii="Wingdings" w:hAnsi="Wingdings" w:hint="default"/>
      </w:rPr>
    </w:lvl>
  </w:abstractNum>
  <w:abstractNum w:abstractNumId="15">
    <w:nsid w:val="76223D35"/>
    <w:multiLevelType w:val="hybridMultilevel"/>
    <w:tmpl w:val="A00ED028"/>
    <w:lvl w:ilvl="0" w:tplc="190090FE">
      <w:start w:val="1"/>
      <w:numFmt w:val="bullet"/>
      <w:lvlText w:val=""/>
      <w:lvlJc w:val="left"/>
      <w:pPr>
        <w:ind w:left="1005" w:hanging="360"/>
      </w:pPr>
      <w:rPr>
        <w:rFonts w:ascii="Symbol" w:hAnsi="Symbol" w:hint="default"/>
        <w:color w:val="auto"/>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num w:numId="1">
    <w:abstractNumId w:val="7"/>
  </w:num>
  <w:num w:numId="2">
    <w:abstractNumId w:val="5"/>
  </w:num>
  <w:num w:numId="3">
    <w:abstractNumId w:val="12"/>
  </w:num>
  <w:num w:numId="4">
    <w:abstractNumId w:val="8"/>
  </w:num>
  <w:num w:numId="5">
    <w:abstractNumId w:val="1"/>
  </w:num>
  <w:num w:numId="6">
    <w:abstractNumId w:val="4"/>
  </w:num>
  <w:num w:numId="7">
    <w:abstractNumId w:val="13"/>
  </w:num>
  <w:num w:numId="8">
    <w:abstractNumId w:val="6"/>
  </w:num>
  <w:num w:numId="9">
    <w:abstractNumId w:val="0"/>
  </w:num>
  <w:num w:numId="10">
    <w:abstractNumId w:val="9"/>
  </w:num>
  <w:num w:numId="11">
    <w:abstractNumId w:val="10"/>
  </w:num>
  <w:num w:numId="12">
    <w:abstractNumId w:val="14"/>
  </w:num>
  <w:num w:numId="13">
    <w:abstractNumId w:val="11"/>
  </w:num>
  <w:num w:numId="14">
    <w:abstractNumId w:val="15"/>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375"/>
    <w:rsid w:val="00025C95"/>
    <w:rsid w:val="000262C9"/>
    <w:rsid w:val="00036577"/>
    <w:rsid w:val="00042647"/>
    <w:rsid w:val="00051550"/>
    <w:rsid w:val="000620EB"/>
    <w:rsid w:val="000654F6"/>
    <w:rsid w:val="00070BAE"/>
    <w:rsid w:val="00071788"/>
    <w:rsid w:val="00071C59"/>
    <w:rsid w:val="0007348A"/>
    <w:rsid w:val="00073DBE"/>
    <w:rsid w:val="000757C7"/>
    <w:rsid w:val="0007724B"/>
    <w:rsid w:val="000879F2"/>
    <w:rsid w:val="00090ACA"/>
    <w:rsid w:val="000A5F21"/>
    <w:rsid w:val="000C2E58"/>
    <w:rsid w:val="000C383B"/>
    <w:rsid w:val="000E27AC"/>
    <w:rsid w:val="000E3F52"/>
    <w:rsid w:val="000F16FA"/>
    <w:rsid w:val="000F51FE"/>
    <w:rsid w:val="00102E20"/>
    <w:rsid w:val="00104629"/>
    <w:rsid w:val="001061F7"/>
    <w:rsid w:val="00106303"/>
    <w:rsid w:val="0010697E"/>
    <w:rsid w:val="001229DC"/>
    <w:rsid w:val="00141065"/>
    <w:rsid w:val="00167E81"/>
    <w:rsid w:val="00181042"/>
    <w:rsid w:val="001849FD"/>
    <w:rsid w:val="00192F11"/>
    <w:rsid w:val="00193C3C"/>
    <w:rsid w:val="001943BD"/>
    <w:rsid w:val="001B3D1C"/>
    <w:rsid w:val="001B776B"/>
    <w:rsid w:val="001C398B"/>
    <w:rsid w:val="001C584F"/>
    <w:rsid w:val="001C73D3"/>
    <w:rsid w:val="001D2447"/>
    <w:rsid w:val="001D30F2"/>
    <w:rsid w:val="001E7C89"/>
    <w:rsid w:val="001F0A69"/>
    <w:rsid w:val="001F0D37"/>
    <w:rsid w:val="00203ADF"/>
    <w:rsid w:val="00214E6F"/>
    <w:rsid w:val="00220FCE"/>
    <w:rsid w:val="002237B7"/>
    <w:rsid w:val="00226A66"/>
    <w:rsid w:val="00232C33"/>
    <w:rsid w:val="002334BD"/>
    <w:rsid w:val="00256D88"/>
    <w:rsid w:val="0026117B"/>
    <w:rsid w:val="002644B9"/>
    <w:rsid w:val="002706E1"/>
    <w:rsid w:val="00270CC0"/>
    <w:rsid w:val="00272F5C"/>
    <w:rsid w:val="00276375"/>
    <w:rsid w:val="002800C9"/>
    <w:rsid w:val="002875E8"/>
    <w:rsid w:val="00287DCD"/>
    <w:rsid w:val="002979E8"/>
    <w:rsid w:val="002A1CDE"/>
    <w:rsid w:val="002A31C3"/>
    <w:rsid w:val="002C3391"/>
    <w:rsid w:val="002D6EE9"/>
    <w:rsid w:val="002E036D"/>
    <w:rsid w:val="002E03FB"/>
    <w:rsid w:val="002F0E14"/>
    <w:rsid w:val="002F4710"/>
    <w:rsid w:val="002F592B"/>
    <w:rsid w:val="002F707B"/>
    <w:rsid w:val="003422F2"/>
    <w:rsid w:val="00354F0C"/>
    <w:rsid w:val="00361621"/>
    <w:rsid w:val="00362808"/>
    <w:rsid w:val="00366598"/>
    <w:rsid w:val="00372116"/>
    <w:rsid w:val="00381577"/>
    <w:rsid w:val="003A3C49"/>
    <w:rsid w:val="003A5707"/>
    <w:rsid w:val="003B331B"/>
    <w:rsid w:val="003B55D2"/>
    <w:rsid w:val="003C0B99"/>
    <w:rsid w:val="003C368C"/>
    <w:rsid w:val="003C43C1"/>
    <w:rsid w:val="003E66DD"/>
    <w:rsid w:val="00401870"/>
    <w:rsid w:val="00404D72"/>
    <w:rsid w:val="00405273"/>
    <w:rsid w:val="00411909"/>
    <w:rsid w:val="0042406B"/>
    <w:rsid w:val="00427329"/>
    <w:rsid w:val="00431CEA"/>
    <w:rsid w:val="004353B8"/>
    <w:rsid w:val="00436E20"/>
    <w:rsid w:val="0043714B"/>
    <w:rsid w:val="00442613"/>
    <w:rsid w:val="00446506"/>
    <w:rsid w:val="00455424"/>
    <w:rsid w:val="00470F8B"/>
    <w:rsid w:val="00496365"/>
    <w:rsid w:val="00497FFD"/>
    <w:rsid w:val="004A44A2"/>
    <w:rsid w:val="004A6554"/>
    <w:rsid w:val="004C2A01"/>
    <w:rsid w:val="004E1FF3"/>
    <w:rsid w:val="004F5A22"/>
    <w:rsid w:val="00510529"/>
    <w:rsid w:val="0051780F"/>
    <w:rsid w:val="00526D0A"/>
    <w:rsid w:val="005271CB"/>
    <w:rsid w:val="00531DD2"/>
    <w:rsid w:val="00531EF8"/>
    <w:rsid w:val="00532DC2"/>
    <w:rsid w:val="00533500"/>
    <w:rsid w:val="00537286"/>
    <w:rsid w:val="0054581C"/>
    <w:rsid w:val="00560E51"/>
    <w:rsid w:val="0057314A"/>
    <w:rsid w:val="00576FA7"/>
    <w:rsid w:val="00577228"/>
    <w:rsid w:val="00592A87"/>
    <w:rsid w:val="005B2146"/>
    <w:rsid w:val="005C10BD"/>
    <w:rsid w:val="005C1113"/>
    <w:rsid w:val="005D6049"/>
    <w:rsid w:val="005D7C16"/>
    <w:rsid w:val="005E478C"/>
    <w:rsid w:val="005E666A"/>
    <w:rsid w:val="005E70E2"/>
    <w:rsid w:val="00601D68"/>
    <w:rsid w:val="00623FC2"/>
    <w:rsid w:val="006379DF"/>
    <w:rsid w:val="0064025C"/>
    <w:rsid w:val="006619C5"/>
    <w:rsid w:val="00664894"/>
    <w:rsid w:val="006A15DF"/>
    <w:rsid w:val="006A2F54"/>
    <w:rsid w:val="006B236C"/>
    <w:rsid w:val="006B49E4"/>
    <w:rsid w:val="006B6C99"/>
    <w:rsid w:val="006B7AA1"/>
    <w:rsid w:val="006F7474"/>
    <w:rsid w:val="00700784"/>
    <w:rsid w:val="007073FC"/>
    <w:rsid w:val="00721CE4"/>
    <w:rsid w:val="00722E2C"/>
    <w:rsid w:val="007245DD"/>
    <w:rsid w:val="007311A7"/>
    <w:rsid w:val="00751179"/>
    <w:rsid w:val="00752A7B"/>
    <w:rsid w:val="00771DAE"/>
    <w:rsid w:val="00773133"/>
    <w:rsid w:val="00780396"/>
    <w:rsid w:val="00781278"/>
    <w:rsid w:val="00781BDA"/>
    <w:rsid w:val="00782C63"/>
    <w:rsid w:val="007845D8"/>
    <w:rsid w:val="007846F5"/>
    <w:rsid w:val="00787A4F"/>
    <w:rsid w:val="007911E2"/>
    <w:rsid w:val="00794BC0"/>
    <w:rsid w:val="007A496E"/>
    <w:rsid w:val="007C365B"/>
    <w:rsid w:val="007D3CE6"/>
    <w:rsid w:val="007D45D8"/>
    <w:rsid w:val="007D50AE"/>
    <w:rsid w:val="007D6E58"/>
    <w:rsid w:val="007E5D77"/>
    <w:rsid w:val="007E725E"/>
    <w:rsid w:val="007F2827"/>
    <w:rsid w:val="00823F3F"/>
    <w:rsid w:val="00825707"/>
    <w:rsid w:val="00827B7D"/>
    <w:rsid w:val="00846194"/>
    <w:rsid w:val="00854088"/>
    <w:rsid w:val="008571CC"/>
    <w:rsid w:val="008631D7"/>
    <w:rsid w:val="008634E7"/>
    <w:rsid w:val="00863D2A"/>
    <w:rsid w:val="00871902"/>
    <w:rsid w:val="00886551"/>
    <w:rsid w:val="00886A46"/>
    <w:rsid w:val="00887DCD"/>
    <w:rsid w:val="00890E8F"/>
    <w:rsid w:val="008A3146"/>
    <w:rsid w:val="008A5DEA"/>
    <w:rsid w:val="008B2360"/>
    <w:rsid w:val="008B505E"/>
    <w:rsid w:val="008C41A8"/>
    <w:rsid w:val="008D6024"/>
    <w:rsid w:val="008D661E"/>
    <w:rsid w:val="008E3E69"/>
    <w:rsid w:val="008F0981"/>
    <w:rsid w:val="008F24E0"/>
    <w:rsid w:val="00900859"/>
    <w:rsid w:val="009067A9"/>
    <w:rsid w:val="00913CE3"/>
    <w:rsid w:val="00916F97"/>
    <w:rsid w:val="009401C3"/>
    <w:rsid w:val="00944FA0"/>
    <w:rsid w:val="00950A2A"/>
    <w:rsid w:val="009570F4"/>
    <w:rsid w:val="00960413"/>
    <w:rsid w:val="009678D4"/>
    <w:rsid w:val="009679A4"/>
    <w:rsid w:val="00972169"/>
    <w:rsid w:val="00972FE8"/>
    <w:rsid w:val="00984929"/>
    <w:rsid w:val="0099533B"/>
    <w:rsid w:val="009B5CA0"/>
    <w:rsid w:val="009C0D47"/>
    <w:rsid w:val="009C19A5"/>
    <w:rsid w:val="009C59B7"/>
    <w:rsid w:val="009C6B06"/>
    <w:rsid w:val="009D6793"/>
    <w:rsid w:val="009D771B"/>
    <w:rsid w:val="009E1DF6"/>
    <w:rsid w:val="009F79FD"/>
    <w:rsid w:val="00A002BE"/>
    <w:rsid w:val="00A007C6"/>
    <w:rsid w:val="00A00B93"/>
    <w:rsid w:val="00A04C90"/>
    <w:rsid w:val="00A10B74"/>
    <w:rsid w:val="00A126CD"/>
    <w:rsid w:val="00A14C04"/>
    <w:rsid w:val="00A179B5"/>
    <w:rsid w:val="00A40A25"/>
    <w:rsid w:val="00A40E4F"/>
    <w:rsid w:val="00A5033F"/>
    <w:rsid w:val="00A57C88"/>
    <w:rsid w:val="00A604E0"/>
    <w:rsid w:val="00A921C1"/>
    <w:rsid w:val="00A958EE"/>
    <w:rsid w:val="00A97F1D"/>
    <w:rsid w:val="00AA0906"/>
    <w:rsid w:val="00AA264C"/>
    <w:rsid w:val="00AA6AB4"/>
    <w:rsid w:val="00AB0CD9"/>
    <w:rsid w:val="00AB5398"/>
    <w:rsid w:val="00AC27B6"/>
    <w:rsid w:val="00AC7094"/>
    <w:rsid w:val="00AC746B"/>
    <w:rsid w:val="00AD007D"/>
    <w:rsid w:val="00AD1A82"/>
    <w:rsid w:val="00AD3118"/>
    <w:rsid w:val="00AD51CC"/>
    <w:rsid w:val="00AE1852"/>
    <w:rsid w:val="00AE2CAB"/>
    <w:rsid w:val="00B07CBC"/>
    <w:rsid w:val="00B12ACD"/>
    <w:rsid w:val="00B17DF2"/>
    <w:rsid w:val="00B26BCC"/>
    <w:rsid w:val="00B26E77"/>
    <w:rsid w:val="00B369EB"/>
    <w:rsid w:val="00B406DD"/>
    <w:rsid w:val="00B42C83"/>
    <w:rsid w:val="00B527FE"/>
    <w:rsid w:val="00B55F61"/>
    <w:rsid w:val="00B654EA"/>
    <w:rsid w:val="00B74FDF"/>
    <w:rsid w:val="00B75BD1"/>
    <w:rsid w:val="00B86DEC"/>
    <w:rsid w:val="00B920AE"/>
    <w:rsid w:val="00BA51FC"/>
    <w:rsid w:val="00BA56D5"/>
    <w:rsid w:val="00BA5B99"/>
    <w:rsid w:val="00BA71AF"/>
    <w:rsid w:val="00BB3A0C"/>
    <w:rsid w:val="00BC6DC9"/>
    <w:rsid w:val="00BE092C"/>
    <w:rsid w:val="00BE608B"/>
    <w:rsid w:val="00BF182F"/>
    <w:rsid w:val="00C06328"/>
    <w:rsid w:val="00C1573B"/>
    <w:rsid w:val="00C15B17"/>
    <w:rsid w:val="00C20B14"/>
    <w:rsid w:val="00C27B4A"/>
    <w:rsid w:val="00C533C1"/>
    <w:rsid w:val="00C80378"/>
    <w:rsid w:val="00C8384B"/>
    <w:rsid w:val="00C94C5E"/>
    <w:rsid w:val="00C96EE1"/>
    <w:rsid w:val="00CB01ED"/>
    <w:rsid w:val="00CB4948"/>
    <w:rsid w:val="00CD25E8"/>
    <w:rsid w:val="00CE6B90"/>
    <w:rsid w:val="00D03667"/>
    <w:rsid w:val="00D04B52"/>
    <w:rsid w:val="00D058EB"/>
    <w:rsid w:val="00D05CAB"/>
    <w:rsid w:val="00D0648E"/>
    <w:rsid w:val="00D111EA"/>
    <w:rsid w:val="00D27AC1"/>
    <w:rsid w:val="00D27B69"/>
    <w:rsid w:val="00D42DF5"/>
    <w:rsid w:val="00D5040C"/>
    <w:rsid w:val="00D671C9"/>
    <w:rsid w:val="00D81E1E"/>
    <w:rsid w:val="00D82E64"/>
    <w:rsid w:val="00D85BCB"/>
    <w:rsid w:val="00DA3BA4"/>
    <w:rsid w:val="00DA47F6"/>
    <w:rsid w:val="00DB6995"/>
    <w:rsid w:val="00DB7CB0"/>
    <w:rsid w:val="00DB7D02"/>
    <w:rsid w:val="00DC1618"/>
    <w:rsid w:val="00DD44F3"/>
    <w:rsid w:val="00DE3D12"/>
    <w:rsid w:val="00E02410"/>
    <w:rsid w:val="00E14164"/>
    <w:rsid w:val="00E46B88"/>
    <w:rsid w:val="00E46D6C"/>
    <w:rsid w:val="00E62137"/>
    <w:rsid w:val="00E7021D"/>
    <w:rsid w:val="00E715B1"/>
    <w:rsid w:val="00E724E3"/>
    <w:rsid w:val="00E72EB5"/>
    <w:rsid w:val="00E77FDF"/>
    <w:rsid w:val="00E8164A"/>
    <w:rsid w:val="00E84242"/>
    <w:rsid w:val="00E860E4"/>
    <w:rsid w:val="00E933F4"/>
    <w:rsid w:val="00E97F4D"/>
    <w:rsid w:val="00EA5A77"/>
    <w:rsid w:val="00EA6EEB"/>
    <w:rsid w:val="00EB09AC"/>
    <w:rsid w:val="00EB3626"/>
    <w:rsid w:val="00EC3BDF"/>
    <w:rsid w:val="00EC5236"/>
    <w:rsid w:val="00EC56F0"/>
    <w:rsid w:val="00EC6D34"/>
    <w:rsid w:val="00ED409E"/>
    <w:rsid w:val="00EE48FA"/>
    <w:rsid w:val="00EE65B5"/>
    <w:rsid w:val="00F0122F"/>
    <w:rsid w:val="00F120A8"/>
    <w:rsid w:val="00F12A19"/>
    <w:rsid w:val="00F16F53"/>
    <w:rsid w:val="00F1709E"/>
    <w:rsid w:val="00F2337F"/>
    <w:rsid w:val="00F34CA5"/>
    <w:rsid w:val="00F34CF1"/>
    <w:rsid w:val="00F37C6E"/>
    <w:rsid w:val="00F427C3"/>
    <w:rsid w:val="00F45B48"/>
    <w:rsid w:val="00F57AD7"/>
    <w:rsid w:val="00F61DFA"/>
    <w:rsid w:val="00F63BDB"/>
    <w:rsid w:val="00F65940"/>
    <w:rsid w:val="00F704BD"/>
    <w:rsid w:val="00F72E5B"/>
    <w:rsid w:val="00F81E7A"/>
    <w:rsid w:val="00F82007"/>
    <w:rsid w:val="00F900A2"/>
    <w:rsid w:val="00F93166"/>
    <w:rsid w:val="00FA6D2B"/>
    <w:rsid w:val="00FA7090"/>
    <w:rsid w:val="00FC06DF"/>
    <w:rsid w:val="00FC2514"/>
    <w:rsid w:val="00FC7F99"/>
    <w:rsid w:val="00FD17E5"/>
    <w:rsid w:val="00FD5351"/>
    <w:rsid w:val="00FE075F"/>
    <w:rsid w:val="00FF0177"/>
    <w:rsid w:val="00FF02F7"/>
    <w:rsid w:val="00FF5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3C1"/>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14E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214E6F"/>
    <w:pPr>
      <w:keepNext/>
      <w:keepLines/>
      <w:spacing w:before="200"/>
      <w:outlineLvl w:val="2"/>
    </w:pPr>
    <w:rPr>
      <w:rFonts w:asciiTheme="majorHAnsi" w:eastAsiaTheme="majorEastAsia" w:hAnsiTheme="majorHAnsi" w:cstheme="majorBidi"/>
      <w:b/>
      <w:bCs/>
      <w:color w:val="4F81BD" w:themeColor="accent1"/>
    </w:rPr>
  </w:style>
  <w:style w:type="paragraph" w:styleId="9">
    <w:name w:val="heading 9"/>
    <w:basedOn w:val="a"/>
    <w:next w:val="a"/>
    <w:link w:val="90"/>
    <w:qFormat/>
    <w:rsid w:val="00C533C1"/>
    <w:pPr>
      <w:keepNext/>
      <w:ind w:right="49"/>
      <w:jc w:val="center"/>
      <w:outlineLvl w:val="8"/>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4E7"/>
    <w:pPr>
      <w:widowControl/>
      <w:tabs>
        <w:tab w:val="center" w:pos="4677"/>
        <w:tab w:val="right" w:pos="9355"/>
      </w:tabs>
    </w:pPr>
    <w:rPr>
      <w:rFonts w:ascii="Verdana" w:hAnsi="Verdana"/>
      <w:sz w:val="22"/>
      <w:szCs w:val="22"/>
    </w:rPr>
  </w:style>
  <w:style w:type="character" w:customStyle="1" w:styleId="a4">
    <w:name w:val="Верхний колонтитул Знак"/>
    <w:basedOn w:val="a0"/>
    <w:link w:val="a3"/>
    <w:uiPriority w:val="99"/>
    <w:rsid w:val="008634E7"/>
  </w:style>
  <w:style w:type="paragraph" w:styleId="a5">
    <w:name w:val="footer"/>
    <w:basedOn w:val="a"/>
    <w:link w:val="a6"/>
    <w:uiPriority w:val="99"/>
    <w:unhideWhenUsed/>
    <w:rsid w:val="008634E7"/>
    <w:pPr>
      <w:widowControl/>
      <w:tabs>
        <w:tab w:val="center" w:pos="4677"/>
        <w:tab w:val="right" w:pos="9355"/>
      </w:tabs>
    </w:pPr>
    <w:rPr>
      <w:rFonts w:ascii="Verdana" w:hAnsi="Verdana"/>
      <w:sz w:val="22"/>
      <w:szCs w:val="22"/>
    </w:rPr>
  </w:style>
  <w:style w:type="character" w:customStyle="1" w:styleId="a6">
    <w:name w:val="Нижний колонтитул Знак"/>
    <w:basedOn w:val="a0"/>
    <w:link w:val="a5"/>
    <w:uiPriority w:val="99"/>
    <w:rsid w:val="008634E7"/>
  </w:style>
  <w:style w:type="paragraph" w:styleId="a7">
    <w:name w:val="Balloon Text"/>
    <w:basedOn w:val="a"/>
    <w:link w:val="a8"/>
    <w:semiHidden/>
    <w:unhideWhenUsed/>
    <w:rsid w:val="008634E7"/>
    <w:pPr>
      <w:widowControl/>
    </w:pPr>
    <w:rPr>
      <w:rFonts w:ascii="Tahoma" w:hAnsi="Tahoma" w:cs="Tahoma"/>
      <w:sz w:val="16"/>
      <w:szCs w:val="16"/>
    </w:rPr>
  </w:style>
  <w:style w:type="character" w:customStyle="1" w:styleId="a8">
    <w:name w:val="Текст выноски Знак"/>
    <w:basedOn w:val="a0"/>
    <w:link w:val="a7"/>
    <w:uiPriority w:val="99"/>
    <w:semiHidden/>
    <w:rsid w:val="008634E7"/>
    <w:rPr>
      <w:rFonts w:ascii="Tahoma" w:hAnsi="Tahoma" w:cs="Tahoma"/>
      <w:sz w:val="16"/>
      <w:szCs w:val="16"/>
    </w:rPr>
  </w:style>
  <w:style w:type="paragraph" w:styleId="a9">
    <w:name w:val="List Paragraph"/>
    <w:basedOn w:val="a"/>
    <w:uiPriority w:val="34"/>
    <w:qFormat/>
    <w:rsid w:val="0010697E"/>
    <w:pPr>
      <w:widowControl/>
      <w:spacing w:after="200" w:line="276" w:lineRule="auto"/>
      <w:ind w:left="720"/>
      <w:contextualSpacing/>
    </w:pPr>
    <w:rPr>
      <w:rFonts w:ascii="Verdana" w:hAnsi="Verdana"/>
      <w:sz w:val="22"/>
      <w:szCs w:val="22"/>
    </w:rPr>
  </w:style>
  <w:style w:type="character" w:customStyle="1" w:styleId="90">
    <w:name w:val="Заголовок 9 Знак"/>
    <w:basedOn w:val="a0"/>
    <w:link w:val="9"/>
    <w:rsid w:val="00C533C1"/>
    <w:rPr>
      <w:rFonts w:ascii="Times New Roman" w:eastAsia="Times New Roman" w:hAnsi="Times New Roman" w:cs="Times New Roman"/>
      <w:b/>
      <w:szCs w:val="20"/>
      <w:lang w:eastAsia="ru-RU"/>
    </w:rPr>
  </w:style>
  <w:style w:type="paragraph" w:styleId="aa">
    <w:name w:val="Title"/>
    <w:basedOn w:val="a"/>
    <w:link w:val="ab"/>
    <w:qFormat/>
    <w:rsid w:val="00C533C1"/>
    <w:pPr>
      <w:widowControl/>
      <w:jc w:val="center"/>
    </w:pPr>
    <w:rPr>
      <w:b/>
      <w:sz w:val="24"/>
    </w:rPr>
  </w:style>
  <w:style w:type="character" w:customStyle="1" w:styleId="ab">
    <w:name w:val="Название Знак"/>
    <w:basedOn w:val="a0"/>
    <w:link w:val="aa"/>
    <w:rsid w:val="00C533C1"/>
    <w:rPr>
      <w:rFonts w:ascii="Times New Roman" w:eastAsia="Times New Roman" w:hAnsi="Times New Roman" w:cs="Times New Roman"/>
      <w:b/>
      <w:sz w:val="24"/>
      <w:szCs w:val="20"/>
      <w:lang w:eastAsia="ru-RU"/>
    </w:rPr>
  </w:style>
  <w:style w:type="character" w:styleId="ac">
    <w:name w:val="Hyperlink"/>
    <w:basedOn w:val="a0"/>
    <w:uiPriority w:val="99"/>
    <w:unhideWhenUsed/>
    <w:rsid w:val="00193C3C"/>
    <w:rPr>
      <w:color w:val="0000FF" w:themeColor="hyperlink"/>
      <w:u w:val="single"/>
    </w:rPr>
  </w:style>
  <w:style w:type="table" w:styleId="ad">
    <w:name w:val="Table Grid"/>
    <w:basedOn w:val="a1"/>
    <w:uiPriority w:val="59"/>
    <w:rsid w:val="00FC2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unhideWhenUsed/>
    <w:rsid w:val="00AC7094"/>
    <w:rPr>
      <w:sz w:val="16"/>
      <w:szCs w:val="16"/>
    </w:rPr>
  </w:style>
  <w:style w:type="paragraph" w:styleId="af">
    <w:name w:val="annotation text"/>
    <w:basedOn w:val="a"/>
    <w:link w:val="af0"/>
    <w:uiPriority w:val="99"/>
    <w:unhideWhenUsed/>
    <w:rsid w:val="00AC7094"/>
  </w:style>
  <w:style w:type="character" w:customStyle="1" w:styleId="af0">
    <w:name w:val="Текст примечания Знак"/>
    <w:basedOn w:val="a0"/>
    <w:link w:val="af"/>
    <w:uiPriority w:val="99"/>
    <w:rsid w:val="00AC7094"/>
    <w:rPr>
      <w:rFonts w:ascii="Times New Roman" w:eastAsia="Times New Roman" w:hAnsi="Times New Roman" w:cs="Times New Roman"/>
      <w:sz w:val="20"/>
      <w:szCs w:val="20"/>
      <w:lang w:eastAsia="ru-RU"/>
    </w:rPr>
  </w:style>
  <w:style w:type="paragraph" w:styleId="af1">
    <w:name w:val="annotation subject"/>
    <w:basedOn w:val="af"/>
    <w:next w:val="af"/>
    <w:link w:val="af2"/>
    <w:unhideWhenUsed/>
    <w:rsid w:val="00AC7094"/>
    <w:rPr>
      <w:b/>
      <w:bCs/>
    </w:rPr>
  </w:style>
  <w:style w:type="character" w:customStyle="1" w:styleId="af2">
    <w:name w:val="Тема примечания Знак"/>
    <w:basedOn w:val="af0"/>
    <w:link w:val="af1"/>
    <w:rsid w:val="00AC7094"/>
    <w:rPr>
      <w:rFonts w:ascii="Times New Roman" w:eastAsia="Times New Roman" w:hAnsi="Times New Roman" w:cs="Times New Roman"/>
      <w:b/>
      <w:bCs/>
      <w:sz w:val="20"/>
      <w:szCs w:val="20"/>
      <w:lang w:eastAsia="ru-RU"/>
    </w:rPr>
  </w:style>
  <w:style w:type="paragraph" w:customStyle="1" w:styleId="Default">
    <w:name w:val="Default"/>
    <w:rsid w:val="00AC746B"/>
    <w:pPr>
      <w:autoSpaceDE w:val="0"/>
      <w:autoSpaceDN w:val="0"/>
      <w:adjustRightInd w:val="0"/>
      <w:spacing w:after="0" w:line="240" w:lineRule="auto"/>
    </w:pPr>
    <w:rPr>
      <w:rFonts w:ascii="Verdana" w:hAnsi="Verdana" w:cs="Verdana"/>
      <w:color w:val="000000"/>
      <w:sz w:val="24"/>
      <w:szCs w:val="24"/>
    </w:rPr>
  </w:style>
  <w:style w:type="table" w:styleId="-2">
    <w:name w:val="Light Grid Accent 2"/>
    <w:basedOn w:val="a1"/>
    <w:uiPriority w:val="62"/>
    <w:rsid w:val="009F79FD"/>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10">
    <w:name w:val="Заголовок 1 Знак"/>
    <w:basedOn w:val="a0"/>
    <w:link w:val="1"/>
    <w:uiPriority w:val="9"/>
    <w:rsid w:val="00214E6F"/>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214E6F"/>
    <w:rPr>
      <w:rFonts w:asciiTheme="majorHAnsi" w:eastAsiaTheme="majorEastAsia" w:hAnsiTheme="majorHAnsi" w:cstheme="majorBidi"/>
      <w:b/>
      <w:bCs/>
      <w:color w:val="4F81BD" w:themeColor="accent1"/>
      <w:sz w:val="20"/>
      <w:szCs w:val="20"/>
      <w:lang w:eastAsia="ru-RU"/>
    </w:rPr>
  </w:style>
  <w:style w:type="paragraph" w:styleId="af3">
    <w:name w:val="footnote text"/>
    <w:basedOn w:val="a"/>
    <w:link w:val="af4"/>
    <w:semiHidden/>
    <w:rsid w:val="00214E6F"/>
    <w:pPr>
      <w:widowControl/>
    </w:pPr>
  </w:style>
  <w:style w:type="character" w:customStyle="1" w:styleId="af4">
    <w:name w:val="Текст сноски Знак"/>
    <w:basedOn w:val="a0"/>
    <w:link w:val="af3"/>
    <w:semiHidden/>
    <w:rsid w:val="00214E6F"/>
    <w:rPr>
      <w:rFonts w:ascii="Times New Roman" w:eastAsia="Times New Roman" w:hAnsi="Times New Roman" w:cs="Times New Roman"/>
      <w:sz w:val="20"/>
      <w:szCs w:val="20"/>
      <w:lang w:eastAsia="ru-RU"/>
    </w:rPr>
  </w:style>
  <w:style w:type="character" w:styleId="af5">
    <w:name w:val="footnote reference"/>
    <w:semiHidden/>
    <w:rsid w:val="00214E6F"/>
    <w:rPr>
      <w:vertAlign w:val="superscript"/>
    </w:rPr>
  </w:style>
  <w:style w:type="character" w:styleId="af6">
    <w:name w:val="page number"/>
    <w:basedOn w:val="a0"/>
    <w:rsid w:val="00214E6F"/>
  </w:style>
  <w:style w:type="paragraph" w:styleId="af7">
    <w:name w:val="Document Map"/>
    <w:basedOn w:val="a"/>
    <w:link w:val="af8"/>
    <w:semiHidden/>
    <w:rsid w:val="00214E6F"/>
    <w:pPr>
      <w:widowControl/>
      <w:shd w:val="clear" w:color="auto" w:fill="000080"/>
    </w:pPr>
    <w:rPr>
      <w:rFonts w:ascii="Tahoma" w:hAnsi="Tahoma" w:cs="Tahoma"/>
    </w:rPr>
  </w:style>
  <w:style w:type="character" w:customStyle="1" w:styleId="af8">
    <w:name w:val="Схема документа Знак"/>
    <w:basedOn w:val="a0"/>
    <w:link w:val="af7"/>
    <w:semiHidden/>
    <w:rsid w:val="00214E6F"/>
    <w:rPr>
      <w:rFonts w:ascii="Tahoma" w:eastAsia="Times New Roman" w:hAnsi="Tahoma" w:cs="Tahoma"/>
      <w:sz w:val="20"/>
      <w:szCs w:val="20"/>
      <w:shd w:val="clear" w:color="auto" w:fill="00008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3C1"/>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14E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214E6F"/>
    <w:pPr>
      <w:keepNext/>
      <w:keepLines/>
      <w:spacing w:before="200"/>
      <w:outlineLvl w:val="2"/>
    </w:pPr>
    <w:rPr>
      <w:rFonts w:asciiTheme="majorHAnsi" w:eastAsiaTheme="majorEastAsia" w:hAnsiTheme="majorHAnsi" w:cstheme="majorBidi"/>
      <w:b/>
      <w:bCs/>
      <w:color w:val="4F81BD" w:themeColor="accent1"/>
    </w:rPr>
  </w:style>
  <w:style w:type="paragraph" w:styleId="9">
    <w:name w:val="heading 9"/>
    <w:basedOn w:val="a"/>
    <w:next w:val="a"/>
    <w:link w:val="90"/>
    <w:qFormat/>
    <w:rsid w:val="00C533C1"/>
    <w:pPr>
      <w:keepNext/>
      <w:ind w:right="49"/>
      <w:jc w:val="center"/>
      <w:outlineLvl w:val="8"/>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4E7"/>
    <w:pPr>
      <w:widowControl/>
      <w:tabs>
        <w:tab w:val="center" w:pos="4677"/>
        <w:tab w:val="right" w:pos="9355"/>
      </w:tabs>
    </w:pPr>
    <w:rPr>
      <w:rFonts w:ascii="Verdana" w:hAnsi="Verdana"/>
      <w:sz w:val="22"/>
      <w:szCs w:val="22"/>
    </w:rPr>
  </w:style>
  <w:style w:type="character" w:customStyle="1" w:styleId="a4">
    <w:name w:val="Верхний колонтитул Знак"/>
    <w:basedOn w:val="a0"/>
    <w:link w:val="a3"/>
    <w:uiPriority w:val="99"/>
    <w:rsid w:val="008634E7"/>
  </w:style>
  <w:style w:type="paragraph" w:styleId="a5">
    <w:name w:val="footer"/>
    <w:basedOn w:val="a"/>
    <w:link w:val="a6"/>
    <w:uiPriority w:val="99"/>
    <w:unhideWhenUsed/>
    <w:rsid w:val="008634E7"/>
    <w:pPr>
      <w:widowControl/>
      <w:tabs>
        <w:tab w:val="center" w:pos="4677"/>
        <w:tab w:val="right" w:pos="9355"/>
      </w:tabs>
    </w:pPr>
    <w:rPr>
      <w:rFonts w:ascii="Verdana" w:hAnsi="Verdana"/>
      <w:sz w:val="22"/>
      <w:szCs w:val="22"/>
    </w:rPr>
  </w:style>
  <w:style w:type="character" w:customStyle="1" w:styleId="a6">
    <w:name w:val="Нижний колонтитул Знак"/>
    <w:basedOn w:val="a0"/>
    <w:link w:val="a5"/>
    <w:uiPriority w:val="99"/>
    <w:rsid w:val="008634E7"/>
  </w:style>
  <w:style w:type="paragraph" w:styleId="a7">
    <w:name w:val="Balloon Text"/>
    <w:basedOn w:val="a"/>
    <w:link w:val="a8"/>
    <w:semiHidden/>
    <w:unhideWhenUsed/>
    <w:rsid w:val="008634E7"/>
    <w:pPr>
      <w:widowControl/>
    </w:pPr>
    <w:rPr>
      <w:rFonts w:ascii="Tahoma" w:hAnsi="Tahoma" w:cs="Tahoma"/>
      <w:sz w:val="16"/>
      <w:szCs w:val="16"/>
    </w:rPr>
  </w:style>
  <w:style w:type="character" w:customStyle="1" w:styleId="a8">
    <w:name w:val="Текст выноски Знак"/>
    <w:basedOn w:val="a0"/>
    <w:link w:val="a7"/>
    <w:uiPriority w:val="99"/>
    <w:semiHidden/>
    <w:rsid w:val="008634E7"/>
    <w:rPr>
      <w:rFonts w:ascii="Tahoma" w:hAnsi="Tahoma" w:cs="Tahoma"/>
      <w:sz w:val="16"/>
      <w:szCs w:val="16"/>
    </w:rPr>
  </w:style>
  <w:style w:type="paragraph" w:styleId="a9">
    <w:name w:val="List Paragraph"/>
    <w:basedOn w:val="a"/>
    <w:uiPriority w:val="34"/>
    <w:qFormat/>
    <w:rsid w:val="0010697E"/>
    <w:pPr>
      <w:widowControl/>
      <w:spacing w:after="200" w:line="276" w:lineRule="auto"/>
      <w:ind w:left="720"/>
      <w:contextualSpacing/>
    </w:pPr>
    <w:rPr>
      <w:rFonts w:ascii="Verdana" w:hAnsi="Verdana"/>
      <w:sz w:val="22"/>
      <w:szCs w:val="22"/>
    </w:rPr>
  </w:style>
  <w:style w:type="character" w:customStyle="1" w:styleId="90">
    <w:name w:val="Заголовок 9 Знак"/>
    <w:basedOn w:val="a0"/>
    <w:link w:val="9"/>
    <w:rsid w:val="00C533C1"/>
    <w:rPr>
      <w:rFonts w:ascii="Times New Roman" w:eastAsia="Times New Roman" w:hAnsi="Times New Roman" w:cs="Times New Roman"/>
      <w:b/>
      <w:szCs w:val="20"/>
      <w:lang w:eastAsia="ru-RU"/>
    </w:rPr>
  </w:style>
  <w:style w:type="paragraph" w:styleId="aa">
    <w:name w:val="Title"/>
    <w:basedOn w:val="a"/>
    <w:link w:val="ab"/>
    <w:qFormat/>
    <w:rsid w:val="00C533C1"/>
    <w:pPr>
      <w:widowControl/>
      <w:jc w:val="center"/>
    </w:pPr>
    <w:rPr>
      <w:b/>
      <w:sz w:val="24"/>
    </w:rPr>
  </w:style>
  <w:style w:type="character" w:customStyle="1" w:styleId="ab">
    <w:name w:val="Название Знак"/>
    <w:basedOn w:val="a0"/>
    <w:link w:val="aa"/>
    <w:rsid w:val="00C533C1"/>
    <w:rPr>
      <w:rFonts w:ascii="Times New Roman" w:eastAsia="Times New Roman" w:hAnsi="Times New Roman" w:cs="Times New Roman"/>
      <w:b/>
      <w:sz w:val="24"/>
      <w:szCs w:val="20"/>
      <w:lang w:eastAsia="ru-RU"/>
    </w:rPr>
  </w:style>
  <w:style w:type="character" w:styleId="ac">
    <w:name w:val="Hyperlink"/>
    <w:basedOn w:val="a0"/>
    <w:uiPriority w:val="99"/>
    <w:unhideWhenUsed/>
    <w:rsid w:val="00193C3C"/>
    <w:rPr>
      <w:color w:val="0000FF" w:themeColor="hyperlink"/>
      <w:u w:val="single"/>
    </w:rPr>
  </w:style>
  <w:style w:type="table" w:styleId="ad">
    <w:name w:val="Table Grid"/>
    <w:basedOn w:val="a1"/>
    <w:uiPriority w:val="59"/>
    <w:rsid w:val="00FC2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unhideWhenUsed/>
    <w:rsid w:val="00AC7094"/>
    <w:rPr>
      <w:sz w:val="16"/>
      <w:szCs w:val="16"/>
    </w:rPr>
  </w:style>
  <w:style w:type="paragraph" w:styleId="af">
    <w:name w:val="annotation text"/>
    <w:basedOn w:val="a"/>
    <w:link w:val="af0"/>
    <w:uiPriority w:val="99"/>
    <w:unhideWhenUsed/>
    <w:rsid w:val="00AC7094"/>
  </w:style>
  <w:style w:type="character" w:customStyle="1" w:styleId="af0">
    <w:name w:val="Текст примечания Знак"/>
    <w:basedOn w:val="a0"/>
    <w:link w:val="af"/>
    <w:uiPriority w:val="99"/>
    <w:rsid w:val="00AC7094"/>
    <w:rPr>
      <w:rFonts w:ascii="Times New Roman" w:eastAsia="Times New Roman" w:hAnsi="Times New Roman" w:cs="Times New Roman"/>
      <w:sz w:val="20"/>
      <w:szCs w:val="20"/>
      <w:lang w:eastAsia="ru-RU"/>
    </w:rPr>
  </w:style>
  <w:style w:type="paragraph" w:styleId="af1">
    <w:name w:val="annotation subject"/>
    <w:basedOn w:val="af"/>
    <w:next w:val="af"/>
    <w:link w:val="af2"/>
    <w:unhideWhenUsed/>
    <w:rsid w:val="00AC7094"/>
    <w:rPr>
      <w:b/>
      <w:bCs/>
    </w:rPr>
  </w:style>
  <w:style w:type="character" w:customStyle="1" w:styleId="af2">
    <w:name w:val="Тема примечания Знак"/>
    <w:basedOn w:val="af0"/>
    <w:link w:val="af1"/>
    <w:rsid w:val="00AC7094"/>
    <w:rPr>
      <w:rFonts w:ascii="Times New Roman" w:eastAsia="Times New Roman" w:hAnsi="Times New Roman" w:cs="Times New Roman"/>
      <w:b/>
      <w:bCs/>
      <w:sz w:val="20"/>
      <w:szCs w:val="20"/>
      <w:lang w:eastAsia="ru-RU"/>
    </w:rPr>
  </w:style>
  <w:style w:type="paragraph" w:customStyle="1" w:styleId="Default">
    <w:name w:val="Default"/>
    <w:rsid w:val="00AC746B"/>
    <w:pPr>
      <w:autoSpaceDE w:val="0"/>
      <w:autoSpaceDN w:val="0"/>
      <w:adjustRightInd w:val="0"/>
      <w:spacing w:after="0" w:line="240" w:lineRule="auto"/>
    </w:pPr>
    <w:rPr>
      <w:rFonts w:ascii="Verdana" w:hAnsi="Verdana" w:cs="Verdana"/>
      <w:color w:val="000000"/>
      <w:sz w:val="24"/>
      <w:szCs w:val="24"/>
    </w:rPr>
  </w:style>
  <w:style w:type="table" w:styleId="-2">
    <w:name w:val="Light Grid Accent 2"/>
    <w:basedOn w:val="a1"/>
    <w:uiPriority w:val="62"/>
    <w:rsid w:val="009F79FD"/>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10">
    <w:name w:val="Заголовок 1 Знак"/>
    <w:basedOn w:val="a0"/>
    <w:link w:val="1"/>
    <w:uiPriority w:val="9"/>
    <w:rsid w:val="00214E6F"/>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214E6F"/>
    <w:rPr>
      <w:rFonts w:asciiTheme="majorHAnsi" w:eastAsiaTheme="majorEastAsia" w:hAnsiTheme="majorHAnsi" w:cstheme="majorBidi"/>
      <w:b/>
      <w:bCs/>
      <w:color w:val="4F81BD" w:themeColor="accent1"/>
      <w:sz w:val="20"/>
      <w:szCs w:val="20"/>
      <w:lang w:eastAsia="ru-RU"/>
    </w:rPr>
  </w:style>
  <w:style w:type="paragraph" w:styleId="af3">
    <w:name w:val="footnote text"/>
    <w:basedOn w:val="a"/>
    <w:link w:val="af4"/>
    <w:semiHidden/>
    <w:rsid w:val="00214E6F"/>
    <w:pPr>
      <w:widowControl/>
    </w:pPr>
  </w:style>
  <w:style w:type="character" w:customStyle="1" w:styleId="af4">
    <w:name w:val="Текст сноски Знак"/>
    <w:basedOn w:val="a0"/>
    <w:link w:val="af3"/>
    <w:semiHidden/>
    <w:rsid w:val="00214E6F"/>
    <w:rPr>
      <w:rFonts w:ascii="Times New Roman" w:eastAsia="Times New Roman" w:hAnsi="Times New Roman" w:cs="Times New Roman"/>
      <w:sz w:val="20"/>
      <w:szCs w:val="20"/>
      <w:lang w:eastAsia="ru-RU"/>
    </w:rPr>
  </w:style>
  <w:style w:type="character" w:styleId="af5">
    <w:name w:val="footnote reference"/>
    <w:semiHidden/>
    <w:rsid w:val="00214E6F"/>
    <w:rPr>
      <w:vertAlign w:val="superscript"/>
    </w:rPr>
  </w:style>
  <w:style w:type="character" w:styleId="af6">
    <w:name w:val="page number"/>
    <w:basedOn w:val="a0"/>
    <w:rsid w:val="00214E6F"/>
  </w:style>
  <w:style w:type="paragraph" w:styleId="af7">
    <w:name w:val="Document Map"/>
    <w:basedOn w:val="a"/>
    <w:link w:val="af8"/>
    <w:semiHidden/>
    <w:rsid w:val="00214E6F"/>
    <w:pPr>
      <w:widowControl/>
      <w:shd w:val="clear" w:color="auto" w:fill="000080"/>
    </w:pPr>
    <w:rPr>
      <w:rFonts w:ascii="Tahoma" w:hAnsi="Tahoma" w:cs="Tahoma"/>
    </w:rPr>
  </w:style>
  <w:style w:type="character" w:customStyle="1" w:styleId="af8">
    <w:name w:val="Схема документа Знак"/>
    <w:basedOn w:val="a0"/>
    <w:link w:val="af7"/>
    <w:semiHidden/>
    <w:rsid w:val="00214E6F"/>
    <w:rPr>
      <w:rFonts w:ascii="Tahoma" w:eastAsia="Times New Roman" w:hAnsi="Tahoma" w:cs="Tahoma"/>
      <w:sz w:val="20"/>
      <w:szCs w:val="20"/>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546393">
      <w:bodyDiv w:val="1"/>
      <w:marLeft w:val="0"/>
      <w:marRight w:val="0"/>
      <w:marTop w:val="0"/>
      <w:marBottom w:val="0"/>
      <w:divBdr>
        <w:top w:val="none" w:sz="0" w:space="0" w:color="auto"/>
        <w:left w:val="none" w:sz="0" w:space="0" w:color="auto"/>
        <w:bottom w:val="none" w:sz="0" w:space="0" w:color="auto"/>
        <w:right w:val="none" w:sz="0" w:space="0" w:color="auto"/>
      </w:divBdr>
    </w:div>
    <w:div w:id="1274359278">
      <w:bodyDiv w:val="1"/>
      <w:marLeft w:val="0"/>
      <w:marRight w:val="0"/>
      <w:marTop w:val="0"/>
      <w:marBottom w:val="0"/>
      <w:divBdr>
        <w:top w:val="none" w:sz="0" w:space="0" w:color="auto"/>
        <w:left w:val="none" w:sz="0" w:space="0" w:color="auto"/>
        <w:bottom w:val="none" w:sz="0" w:space="0" w:color="auto"/>
        <w:right w:val="none" w:sz="0" w:space="0" w:color="auto"/>
      </w:divBdr>
    </w:div>
    <w:div w:id="1359962084">
      <w:bodyDiv w:val="1"/>
      <w:marLeft w:val="0"/>
      <w:marRight w:val="0"/>
      <w:marTop w:val="0"/>
      <w:marBottom w:val="0"/>
      <w:divBdr>
        <w:top w:val="none" w:sz="0" w:space="0" w:color="auto"/>
        <w:left w:val="none" w:sz="0" w:space="0" w:color="auto"/>
        <w:bottom w:val="none" w:sz="0" w:space="0" w:color="auto"/>
        <w:right w:val="none" w:sz="0" w:space="0" w:color="auto"/>
      </w:divBdr>
    </w:div>
    <w:div w:id="1617129658">
      <w:bodyDiv w:val="1"/>
      <w:marLeft w:val="0"/>
      <w:marRight w:val="0"/>
      <w:marTop w:val="0"/>
      <w:marBottom w:val="0"/>
      <w:divBdr>
        <w:top w:val="none" w:sz="0" w:space="0" w:color="auto"/>
        <w:left w:val="none" w:sz="0" w:space="0" w:color="auto"/>
        <w:bottom w:val="none" w:sz="0" w:space="0" w:color="auto"/>
        <w:right w:val="none" w:sz="0" w:space="0" w:color="auto"/>
      </w:divBdr>
      <w:divsChild>
        <w:div w:id="1285229858">
          <w:marLeft w:val="0"/>
          <w:marRight w:val="0"/>
          <w:marTop w:val="0"/>
          <w:marBottom w:val="0"/>
          <w:divBdr>
            <w:top w:val="none" w:sz="0" w:space="0" w:color="auto"/>
            <w:left w:val="none" w:sz="0" w:space="0" w:color="auto"/>
            <w:bottom w:val="none" w:sz="0" w:space="0" w:color="auto"/>
            <w:right w:val="none" w:sz="0" w:space="0" w:color="auto"/>
          </w:divBdr>
          <w:divsChild>
            <w:div w:id="194931795">
              <w:marLeft w:val="0"/>
              <w:marRight w:val="0"/>
              <w:marTop w:val="0"/>
              <w:marBottom w:val="0"/>
              <w:divBdr>
                <w:top w:val="none" w:sz="0" w:space="0" w:color="auto"/>
                <w:left w:val="none" w:sz="0" w:space="0" w:color="auto"/>
                <w:bottom w:val="none" w:sz="0" w:space="0" w:color="auto"/>
                <w:right w:val="none" w:sz="0" w:space="0" w:color="auto"/>
              </w:divBdr>
              <w:divsChild>
                <w:div w:id="846138386">
                  <w:marLeft w:val="0"/>
                  <w:marRight w:val="0"/>
                  <w:marTop w:val="0"/>
                  <w:marBottom w:val="0"/>
                  <w:divBdr>
                    <w:top w:val="none" w:sz="0" w:space="0" w:color="auto"/>
                    <w:left w:val="none" w:sz="0" w:space="0" w:color="auto"/>
                    <w:bottom w:val="none" w:sz="0" w:space="0" w:color="auto"/>
                    <w:right w:val="none" w:sz="0" w:space="0" w:color="auto"/>
                  </w:divBdr>
                  <w:divsChild>
                    <w:div w:id="677082435">
                      <w:marLeft w:val="0"/>
                      <w:marRight w:val="0"/>
                      <w:marTop w:val="0"/>
                      <w:marBottom w:val="0"/>
                      <w:divBdr>
                        <w:top w:val="none" w:sz="0" w:space="0" w:color="auto"/>
                        <w:left w:val="none" w:sz="0" w:space="0" w:color="auto"/>
                        <w:bottom w:val="none" w:sz="0" w:space="0" w:color="auto"/>
                        <w:right w:val="none" w:sz="0" w:space="0" w:color="auto"/>
                      </w:divBdr>
                      <w:divsChild>
                        <w:div w:id="286547839">
                          <w:marLeft w:val="0"/>
                          <w:marRight w:val="0"/>
                          <w:marTop w:val="0"/>
                          <w:marBottom w:val="0"/>
                          <w:divBdr>
                            <w:top w:val="none" w:sz="0" w:space="0" w:color="auto"/>
                            <w:left w:val="none" w:sz="0" w:space="0" w:color="auto"/>
                            <w:bottom w:val="none" w:sz="0" w:space="0" w:color="auto"/>
                            <w:right w:val="none" w:sz="0" w:space="0" w:color="auto"/>
                          </w:divBdr>
                          <w:divsChild>
                            <w:div w:id="1021317789">
                              <w:marLeft w:val="4223"/>
                              <w:marRight w:val="0"/>
                              <w:marTop w:val="0"/>
                              <w:marBottom w:val="0"/>
                              <w:divBdr>
                                <w:top w:val="none" w:sz="0" w:space="0" w:color="auto"/>
                                <w:left w:val="none" w:sz="0" w:space="0" w:color="auto"/>
                                <w:bottom w:val="none" w:sz="0" w:space="0" w:color="auto"/>
                                <w:right w:val="none" w:sz="0" w:space="0" w:color="auto"/>
                              </w:divBdr>
                              <w:divsChild>
                                <w:div w:id="97994979">
                                  <w:marLeft w:val="0"/>
                                  <w:marRight w:val="0"/>
                                  <w:marTop w:val="0"/>
                                  <w:marBottom w:val="0"/>
                                  <w:divBdr>
                                    <w:top w:val="none" w:sz="0" w:space="0" w:color="auto"/>
                                    <w:left w:val="none" w:sz="0" w:space="0" w:color="auto"/>
                                    <w:bottom w:val="none" w:sz="0" w:space="0" w:color="auto"/>
                                    <w:right w:val="none" w:sz="0" w:space="0" w:color="auto"/>
                                  </w:divBdr>
                                  <w:divsChild>
                                    <w:div w:id="136536004">
                                      <w:marLeft w:val="0"/>
                                      <w:marRight w:val="0"/>
                                      <w:marTop w:val="0"/>
                                      <w:marBottom w:val="0"/>
                                      <w:divBdr>
                                        <w:top w:val="none" w:sz="0" w:space="0" w:color="auto"/>
                                        <w:left w:val="none" w:sz="0" w:space="0" w:color="auto"/>
                                        <w:bottom w:val="none" w:sz="0" w:space="0" w:color="auto"/>
                                        <w:right w:val="none" w:sz="0" w:space="0" w:color="auto"/>
                                      </w:divBdr>
                                      <w:divsChild>
                                        <w:div w:id="101045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2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35D74-AC97-4578-AD71-209725C50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1691</Words>
  <Characters>9642</Characters>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Общий бланк</vt:lpstr>
    </vt:vector>
  </TitlesOfParts>
  <LinksUpToDate>false</LinksUpToDate>
  <CharactersWithSpaces>11311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2024-12-17T12:04:00Z</cp:lastPrinted>
  <dcterms:created xsi:type="dcterms:W3CDTF">2024-12-16T09:53:00Z</dcterms:created>
  <dcterms:modified xsi:type="dcterms:W3CDTF">2024-12-17T13:16:00Z</dcterms:modified>
</cp:coreProperties>
</file>