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tblLayout w:type="fixed"/>
        <w:tblCellMar>
          <w:left w:w="0" w:type="dxa"/>
          <w:right w:w="0" w:type="dxa"/>
        </w:tblCellMar>
        <w:tblLook w:val="04A0" w:firstRow="1" w:lastRow="0" w:firstColumn="1" w:lastColumn="0" w:noHBand="0" w:noVBand="1"/>
      </w:tblPr>
      <w:tblGrid>
        <w:gridCol w:w="135"/>
        <w:gridCol w:w="660"/>
        <w:gridCol w:w="75"/>
        <w:gridCol w:w="285"/>
        <w:gridCol w:w="1215"/>
        <w:gridCol w:w="210"/>
        <w:gridCol w:w="930"/>
        <w:gridCol w:w="270"/>
        <w:gridCol w:w="1260"/>
        <w:gridCol w:w="60"/>
        <w:gridCol w:w="210"/>
        <w:gridCol w:w="540"/>
        <w:gridCol w:w="1950"/>
        <w:gridCol w:w="30"/>
        <w:gridCol w:w="210"/>
        <w:gridCol w:w="165"/>
        <w:gridCol w:w="2355"/>
      </w:tblGrid>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3"/>
            <w:shd w:val="clear" w:color="auto" w:fill="auto"/>
            <w:tcMar>
              <w:right w:w="0" w:type="dxa"/>
            </w:tcMar>
            <w:vAlign w:val="center"/>
          </w:tcPr>
          <w:p w:rsidR="00716B8B" w:rsidRDefault="00716B8B">
            <w:pPr>
              <w:spacing w:after="0"/>
              <w:jc w:val="right"/>
            </w:pPr>
          </w:p>
        </w:tc>
        <w:tc>
          <w:tcPr>
            <w:tcW w:w="2340" w:type="dxa"/>
            <w:gridSpan w:val="5"/>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 xml:space="preserve">Приложение 1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3"/>
            <w:shd w:val="clear" w:color="auto" w:fill="auto"/>
            <w:vAlign w:val="center"/>
          </w:tcPr>
          <w:p w:rsidR="00716B8B" w:rsidRDefault="00716B8B">
            <w:pPr>
              <w:spacing w:after="0"/>
              <w:jc w:val="center"/>
            </w:pPr>
          </w:p>
        </w:tc>
        <w:tc>
          <w:tcPr>
            <w:tcW w:w="2340" w:type="dxa"/>
            <w:gridSpan w:val="5"/>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10"/>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 организации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3"/>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 ОКПО</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ИНН</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45296561000</w:t>
            </w:r>
          </w:p>
        </w:tc>
        <w:tc>
          <w:tcPr>
            <w:tcW w:w="23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63682124</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9725165895</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3"/>
            <w:shd w:val="clear" w:color="auto" w:fill="auto"/>
            <w:vAlign w:val="center"/>
          </w:tcPr>
          <w:p w:rsidR="00716B8B" w:rsidRDefault="00716B8B">
            <w:pPr>
              <w:spacing w:after="0"/>
              <w:jc w:val="center"/>
            </w:pPr>
          </w:p>
        </w:tc>
        <w:tc>
          <w:tcPr>
            <w:tcW w:w="2340" w:type="dxa"/>
            <w:gridSpan w:val="5"/>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24"/>
                <w:szCs w:val="24"/>
              </w:rPr>
              <w:t>БУХГАЛТЕРСКИЙ БАЛАНС ОРГАНИЗАЦИИ</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24"/>
                <w:szCs w:val="24"/>
              </w:rPr>
              <w:t>на 1 квартал 2025 г.</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3"/>
            <w:shd w:val="clear" w:color="auto" w:fill="auto"/>
            <w:vAlign w:val="center"/>
          </w:tcPr>
          <w:p w:rsidR="00716B8B" w:rsidRDefault="00716B8B">
            <w:pPr>
              <w:spacing w:after="0"/>
              <w:jc w:val="center"/>
            </w:pPr>
          </w:p>
        </w:tc>
        <w:tc>
          <w:tcPr>
            <w:tcW w:w="2340" w:type="dxa"/>
            <w:gridSpan w:val="5"/>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0425" w:type="dxa"/>
            <w:gridSpan w:val="16"/>
            <w:tcBorders>
              <w:bottom w:val="none" w:sz="5" w:space="0" w:color="auto"/>
            </w:tcBorders>
            <w:shd w:val="clear" w:color="auto" w:fill="auto"/>
            <w:vAlign w:val="center"/>
          </w:tcPr>
          <w:p w:rsidR="00716B8B" w:rsidRDefault="005D4FA8">
            <w:pPr>
              <w:wordWrap w:val="0"/>
              <w:spacing w:after="0"/>
              <w:jc w:val="center"/>
            </w:pPr>
            <w:r>
              <w:rPr>
                <w:rFonts w:ascii="Arial" w:hAnsi="Arial"/>
                <w:b/>
                <w:sz w:val="18"/>
                <w:szCs w:val="18"/>
              </w:rPr>
              <w:t>Общество с ограниченной ответственностью "НЭКСТ"</w:t>
            </w:r>
          </w:p>
        </w:tc>
      </w:tr>
      <w:tr w:rsidR="00716B8B">
        <w:trPr>
          <w:cantSplit/>
        </w:trPr>
        <w:tc>
          <w:tcPr>
            <w:tcW w:w="135" w:type="dxa"/>
            <w:shd w:val="clear" w:color="auto" w:fill="auto"/>
            <w:vAlign w:val="center"/>
          </w:tcPr>
          <w:p w:rsidR="00716B8B" w:rsidRDefault="00716B8B">
            <w:pPr>
              <w:wordWrap w:val="0"/>
              <w:spacing w:after="0"/>
              <w:jc w:val="center"/>
            </w:pPr>
          </w:p>
        </w:tc>
        <w:tc>
          <w:tcPr>
            <w:tcW w:w="10425" w:type="dxa"/>
            <w:gridSpan w:val="16"/>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ООО "НЭКСТ"</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18"/>
                <w:szCs w:val="18"/>
              </w:rPr>
              <w:t>(полное и (или) сокращенное фирменные наименования)</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3"/>
            <w:shd w:val="clear" w:color="auto" w:fill="auto"/>
            <w:vAlign w:val="center"/>
          </w:tcPr>
          <w:p w:rsidR="00716B8B" w:rsidRDefault="00716B8B">
            <w:pPr>
              <w:spacing w:after="0"/>
              <w:jc w:val="center"/>
            </w:pPr>
          </w:p>
        </w:tc>
        <w:tc>
          <w:tcPr>
            <w:tcW w:w="2340" w:type="dxa"/>
            <w:gridSpan w:val="5"/>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18"/>
                <w:szCs w:val="18"/>
              </w:rPr>
              <w:t>(адрес организации в пределах места нахождения организации)</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gridSpan w:val="3"/>
            <w:shd w:val="clear" w:color="auto" w:fill="auto"/>
            <w:tcMar>
              <w:left w:w="0" w:type="dxa"/>
            </w:tcMar>
            <w:vAlign w:val="center"/>
          </w:tcPr>
          <w:p w:rsidR="00716B8B" w:rsidRDefault="00716B8B">
            <w:pPr>
              <w:spacing w:after="0"/>
            </w:pPr>
          </w:p>
        </w:tc>
        <w:tc>
          <w:tcPr>
            <w:tcW w:w="2340" w:type="dxa"/>
            <w:gridSpan w:val="5"/>
            <w:shd w:val="clear" w:color="auto" w:fill="auto"/>
            <w:tcMar>
              <w:right w:w="0" w:type="dxa"/>
            </w:tcMar>
            <w:vAlign w:val="center"/>
          </w:tcPr>
          <w:p w:rsidR="00716B8B" w:rsidRDefault="00716B8B">
            <w:pPr>
              <w:spacing w:after="0"/>
              <w:jc w:val="right"/>
            </w:pPr>
          </w:p>
        </w:tc>
        <w:tc>
          <w:tcPr>
            <w:tcW w:w="2355" w:type="dxa"/>
            <w:gridSpan w:val="4"/>
            <w:shd w:val="clear" w:color="auto" w:fill="auto"/>
            <w:tcMar>
              <w:right w:w="0" w:type="dxa"/>
            </w:tcMar>
            <w:vAlign w:val="center"/>
          </w:tcPr>
          <w:p w:rsidR="00716B8B" w:rsidRDefault="00716B8B">
            <w:pPr>
              <w:spacing w:after="0"/>
              <w:jc w:val="right"/>
            </w:pPr>
          </w:p>
        </w:tc>
        <w:tc>
          <w:tcPr>
            <w:tcW w:w="235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gridSpan w:val="3"/>
            <w:shd w:val="clear" w:color="auto" w:fill="auto"/>
            <w:tcMar>
              <w:left w:w="0" w:type="dxa"/>
            </w:tcMar>
            <w:vAlign w:val="center"/>
          </w:tcPr>
          <w:p w:rsidR="00716B8B" w:rsidRDefault="00716B8B">
            <w:pPr>
              <w:spacing w:after="0"/>
            </w:pPr>
          </w:p>
        </w:tc>
        <w:tc>
          <w:tcPr>
            <w:tcW w:w="2340" w:type="dxa"/>
            <w:gridSpan w:val="5"/>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Код формы по ОКУД 0420002</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gridSpan w:val="3"/>
            <w:shd w:val="clear" w:color="auto" w:fill="auto"/>
            <w:tcMar>
              <w:right w:w="0" w:type="dxa"/>
            </w:tcMar>
            <w:vAlign w:val="center"/>
          </w:tcPr>
          <w:p w:rsidR="00716B8B" w:rsidRDefault="00716B8B">
            <w:pPr>
              <w:spacing w:after="0"/>
              <w:jc w:val="right"/>
            </w:pPr>
          </w:p>
        </w:tc>
        <w:tc>
          <w:tcPr>
            <w:tcW w:w="2340" w:type="dxa"/>
            <w:gridSpan w:val="5"/>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Годовая (квартальная, полугодовая, за 9 месяцев)</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gridSpan w:val="3"/>
            <w:shd w:val="clear" w:color="auto" w:fill="auto"/>
            <w:tcMar>
              <w:right w:w="0" w:type="dxa"/>
            </w:tcMar>
            <w:vAlign w:val="center"/>
          </w:tcPr>
          <w:p w:rsidR="00716B8B" w:rsidRDefault="00716B8B">
            <w:pPr>
              <w:spacing w:after="0"/>
              <w:jc w:val="right"/>
            </w:pPr>
          </w:p>
        </w:tc>
        <w:tc>
          <w:tcPr>
            <w:tcW w:w="2340" w:type="dxa"/>
            <w:gridSpan w:val="5"/>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3"/>
            <w:shd w:val="clear" w:color="auto" w:fill="auto"/>
            <w:vAlign w:val="center"/>
          </w:tcPr>
          <w:p w:rsidR="00716B8B" w:rsidRDefault="00716B8B">
            <w:pPr>
              <w:spacing w:after="0"/>
              <w:jc w:val="center"/>
            </w:pPr>
          </w:p>
        </w:tc>
        <w:tc>
          <w:tcPr>
            <w:tcW w:w="2340" w:type="dxa"/>
            <w:gridSpan w:val="5"/>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примечания</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Раздел I. Активы</w:t>
            </w:r>
          </w:p>
        </w:tc>
        <w:tc>
          <w:tcPr>
            <w:tcW w:w="1260" w:type="dxa"/>
            <w:tcBorders>
              <w:top w:val="single" w:sz="5" w:space="0" w:color="auto"/>
              <w:left w:val="single" w:sz="5" w:space="0" w:color="auto"/>
              <w:bottom w:val="single" w:sz="5" w:space="0" w:color="auto"/>
              <w:right w:val="single" w:sz="5" w:space="0" w:color="auto"/>
            </w:tcBorders>
            <w:shd w:val="clear" w:color="auto" w:fill="auto"/>
            <w:tcMar>
              <w:right w:w="105" w:type="dxa"/>
            </w:tcMar>
            <w:vAlign w:val="center"/>
          </w:tcPr>
          <w:p w:rsidR="00716B8B" w:rsidRDefault="00716B8B">
            <w:pPr>
              <w:spacing w:after="0"/>
              <w:jc w:val="right"/>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Денежные средства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wordWrap w:val="0"/>
              <w:spacing w:after="0"/>
              <w:jc w:val="center"/>
            </w:pPr>
            <w:r>
              <w:rPr>
                <w:rFonts w:ascii="Arial" w:hAnsi="Arial"/>
                <w:sz w:val="18"/>
                <w:szCs w:val="18"/>
              </w:rPr>
              <w:t>5</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103 013</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Финансовые активы, оцениваемые по амортизированной стоимости, в том числе: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907</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104 472</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средства в кредитных организациях и банках-нерезидентах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104 403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11</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дебиторская задолженность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907</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69</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17</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Нематериальные активы и капитальные вложения в них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16 764</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14 817</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Основные средства и капитальные вложения в них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19</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4 628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5 109</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20</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Отложенные налоговые активы</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295</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226</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21</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Прочие активы</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648</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22</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 активов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126 636</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125 274</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II. Обязательства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23</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Финансовые обязательства, оцениваемые по амортизированной стоимости, в том числе: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5 279</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5 215</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26</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кредиты, займы и прочие привлеченные средства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24</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4 799</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4 902</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28</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кредиторская задолженность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26</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313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примечания</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33</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sz w:val="18"/>
                <w:szCs w:val="18"/>
              </w:rPr>
              <w:t>Обязательство по текущему налогу на прибыль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48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338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99</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FD44D9" w:rsidP="005D4FA8">
            <w:pPr>
              <w:spacing w:after="0"/>
              <w:jc w:val="center"/>
            </w:pPr>
            <w:r>
              <w:rPr>
                <w:rFonts w:ascii="Arial" w:hAnsi="Arial"/>
                <w:sz w:val="18"/>
                <w:szCs w:val="18"/>
              </w:rPr>
              <w:t>34</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sz w:val="18"/>
                <w:szCs w:val="18"/>
              </w:rPr>
              <w:t>Отложенные налоговые обязательства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48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14</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FD44D9" w:rsidP="005D4FA8">
            <w:pPr>
              <w:spacing w:after="0"/>
              <w:jc w:val="center"/>
            </w:pPr>
            <w:r>
              <w:rPr>
                <w:rFonts w:ascii="Arial" w:hAnsi="Arial"/>
                <w:sz w:val="18"/>
                <w:szCs w:val="18"/>
              </w:rPr>
              <w:t>36</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sz w:val="18"/>
                <w:szCs w:val="18"/>
              </w:rPr>
              <w:t>Прочие обязательства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29</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531</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225</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FD44D9" w:rsidP="005D4FA8">
            <w:pPr>
              <w:spacing w:after="0"/>
              <w:jc w:val="center"/>
            </w:pPr>
            <w:r>
              <w:rPr>
                <w:rFonts w:ascii="Arial" w:hAnsi="Arial"/>
                <w:sz w:val="18"/>
                <w:szCs w:val="18"/>
              </w:rPr>
              <w:t>37</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b/>
                <w:sz w:val="18"/>
                <w:szCs w:val="18"/>
              </w:rPr>
              <w:t>Итого обязательств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b/>
                <w:sz w:val="18"/>
                <w:szCs w:val="18"/>
              </w:rPr>
              <w:t>6 148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b/>
                <w:sz w:val="18"/>
                <w:szCs w:val="18"/>
              </w:rPr>
              <w:t>5 552</w:t>
            </w:r>
          </w:p>
        </w:tc>
      </w:tr>
      <w:tr w:rsidR="005D4FA8" w:rsidTr="005D4FA8">
        <w:trPr>
          <w:cantSplit/>
        </w:trPr>
        <w:tc>
          <w:tcPr>
            <w:tcW w:w="135" w:type="dxa"/>
            <w:shd w:val="clear" w:color="auto" w:fill="auto"/>
            <w:vAlign w:val="center"/>
          </w:tcPr>
          <w:p w:rsidR="005D4FA8" w:rsidRDefault="005D4FA8">
            <w:pPr>
              <w:spacing w:after="0"/>
              <w:jc w:val="center"/>
            </w:pPr>
          </w:p>
        </w:tc>
        <w:tc>
          <w:tcPr>
            <w:tcW w:w="10425"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b/>
                <w:sz w:val="18"/>
                <w:szCs w:val="18"/>
              </w:rPr>
              <w:t>Раздел III. Капитал</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FD44D9" w:rsidP="005D4FA8">
            <w:pPr>
              <w:spacing w:after="0"/>
              <w:jc w:val="center"/>
            </w:pPr>
            <w:r>
              <w:rPr>
                <w:rFonts w:ascii="Arial" w:hAnsi="Arial"/>
                <w:sz w:val="18"/>
                <w:szCs w:val="18"/>
              </w:rPr>
              <w:t>38</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sz w:val="18"/>
                <w:szCs w:val="18"/>
              </w:rPr>
              <w:t>Уставный капитал</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wordWrap w:val="0"/>
              <w:spacing w:after="0"/>
              <w:jc w:val="center"/>
            </w:pPr>
            <w:r>
              <w:rPr>
                <w:rFonts w:ascii="Arial" w:hAnsi="Arial"/>
                <w:sz w:val="18"/>
                <w:szCs w:val="18"/>
              </w:rPr>
              <w:t>30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20 000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20 000</w:t>
            </w:r>
          </w:p>
        </w:tc>
      </w:tr>
      <w:tr w:rsidR="005D4FA8">
        <w:trPr>
          <w:cantSplit/>
        </w:trPr>
        <w:tc>
          <w:tcPr>
            <w:tcW w:w="135" w:type="dxa"/>
            <w:shd w:val="clear" w:color="auto" w:fill="auto"/>
            <w:vAlign w:val="center"/>
          </w:tcPr>
          <w:p w:rsidR="005D4FA8" w:rsidRDefault="005D4FA8">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FD44D9" w:rsidP="005D4FA8">
            <w:pPr>
              <w:spacing w:after="0"/>
              <w:jc w:val="center"/>
            </w:pPr>
            <w:r>
              <w:rPr>
                <w:rFonts w:ascii="Arial" w:hAnsi="Arial"/>
                <w:sz w:val="18"/>
                <w:szCs w:val="18"/>
              </w:rPr>
              <w:t>39</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ind w:left="105"/>
            </w:pPr>
            <w:r>
              <w:rPr>
                <w:rFonts w:ascii="Arial" w:hAnsi="Arial"/>
                <w:sz w:val="18"/>
                <w:szCs w:val="18"/>
              </w:rPr>
              <w:t>Добавочный капитал</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wordWrap w:val="0"/>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100 000</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5D4FA8" w:rsidRDefault="005D4FA8" w:rsidP="005D4FA8">
            <w:pPr>
              <w:spacing w:after="0"/>
              <w:jc w:val="center"/>
            </w:pPr>
            <w:r>
              <w:rPr>
                <w:rFonts w:ascii="Arial" w:hAnsi="Arial"/>
                <w:sz w:val="18"/>
                <w:szCs w:val="18"/>
              </w:rPr>
              <w:t>100 000</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FD44D9">
            <w:pPr>
              <w:spacing w:after="0"/>
              <w:jc w:val="center"/>
            </w:pPr>
            <w:r>
              <w:rPr>
                <w:rFonts w:ascii="Arial" w:hAnsi="Arial"/>
                <w:sz w:val="18"/>
                <w:szCs w:val="18"/>
              </w:rPr>
              <w:t>43</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Нераспределенная прибыль (непокрытый убыток)</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wordWrap w:val="0"/>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(279)</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FD44D9">
            <w:pPr>
              <w:spacing w:after="0"/>
              <w:jc w:val="center"/>
            </w:pPr>
            <w:r>
              <w:rPr>
                <w:rFonts w:ascii="Arial" w:hAnsi="Arial"/>
                <w:sz w:val="18"/>
                <w:szCs w:val="18"/>
              </w:rPr>
              <w:t>44</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 капитала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wordWrap w:val="0"/>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120 488</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119 721</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FD44D9">
            <w:pPr>
              <w:spacing w:after="0"/>
              <w:jc w:val="center"/>
            </w:pPr>
            <w:r>
              <w:rPr>
                <w:rFonts w:ascii="Arial" w:hAnsi="Arial"/>
                <w:sz w:val="18"/>
                <w:szCs w:val="18"/>
              </w:rPr>
              <w:t>45</w:t>
            </w:r>
          </w:p>
        </w:tc>
        <w:tc>
          <w:tcPr>
            <w:tcW w:w="2910" w:type="dxa"/>
            <w:gridSpan w:val="5"/>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 капитала и обязательств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wordWrap w:val="0"/>
              <w:spacing w:after="0"/>
              <w:jc w:val="center"/>
            </w:pP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126 636</w:t>
            </w:r>
          </w:p>
        </w:tc>
        <w:tc>
          <w:tcPr>
            <w:tcW w:w="27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125 274</w:t>
            </w: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shd w:val="clear" w:color="auto" w:fill="auto"/>
            <w:tcMar>
              <w:left w:w="0" w:type="dxa"/>
            </w:tcMar>
            <w:vAlign w:val="center"/>
          </w:tcPr>
          <w:p w:rsidR="00716B8B" w:rsidRDefault="00716B8B">
            <w:pPr>
              <w:spacing w:after="0"/>
            </w:pPr>
          </w:p>
        </w:tc>
        <w:tc>
          <w:tcPr>
            <w:tcW w:w="210" w:type="dxa"/>
            <w:shd w:val="clear" w:color="auto" w:fill="auto"/>
            <w:vAlign w:val="center"/>
          </w:tcPr>
          <w:p w:rsidR="00716B8B" w:rsidRDefault="00716B8B">
            <w:pPr>
              <w:spacing w:after="0"/>
              <w:jc w:val="center"/>
            </w:pPr>
          </w:p>
        </w:tc>
        <w:tc>
          <w:tcPr>
            <w:tcW w:w="2520" w:type="dxa"/>
            <w:gridSpan w:val="4"/>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Генеральный директор</w:t>
            </w:r>
          </w:p>
        </w:tc>
        <w:tc>
          <w:tcPr>
            <w:tcW w:w="210" w:type="dxa"/>
            <w:shd w:val="clear" w:color="auto" w:fill="auto"/>
            <w:vAlign w:val="center"/>
          </w:tcPr>
          <w:p w:rsidR="00716B8B" w:rsidRDefault="00716B8B">
            <w:pPr>
              <w:spacing w:after="0"/>
              <w:jc w:val="center"/>
            </w:pPr>
          </w:p>
        </w:tc>
        <w:tc>
          <w:tcPr>
            <w:tcW w:w="2520" w:type="dxa"/>
            <w:gridSpan w:val="4"/>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top w:val="single" w:sz="5" w:space="0" w:color="auto"/>
            </w:tcBorders>
            <w:shd w:val="clear" w:color="auto" w:fill="auto"/>
          </w:tcPr>
          <w:p w:rsidR="00716B8B" w:rsidRDefault="005D4FA8">
            <w:pPr>
              <w:spacing w:after="0"/>
              <w:jc w:val="center"/>
            </w:pPr>
            <w:r>
              <w:rPr>
                <w:rFonts w:ascii="Arial" w:hAnsi="Arial"/>
                <w:sz w:val="18"/>
                <w:szCs w:val="18"/>
              </w:rPr>
              <w:t>(должность)</w:t>
            </w:r>
          </w:p>
        </w:tc>
        <w:tc>
          <w:tcPr>
            <w:tcW w:w="210" w:type="dxa"/>
            <w:shd w:val="clear" w:color="auto" w:fill="auto"/>
            <w:tcMar>
              <w:left w:w="0" w:type="dxa"/>
            </w:tcMar>
            <w:vAlign w:val="center"/>
          </w:tcPr>
          <w:p w:rsidR="00716B8B" w:rsidRDefault="00716B8B">
            <w:pPr>
              <w:spacing w:after="0"/>
            </w:pPr>
          </w:p>
        </w:tc>
        <w:tc>
          <w:tcPr>
            <w:tcW w:w="2520" w:type="dxa"/>
            <w:gridSpan w:val="4"/>
            <w:tcBorders>
              <w:top w:val="single" w:sz="5" w:space="0" w:color="auto"/>
            </w:tcBorders>
            <w:shd w:val="clear" w:color="auto" w:fill="auto"/>
          </w:tcPr>
          <w:p w:rsidR="00716B8B" w:rsidRDefault="005D4FA8">
            <w:pPr>
              <w:spacing w:after="0"/>
              <w:jc w:val="center"/>
            </w:pPr>
            <w:r>
              <w:rPr>
                <w:rFonts w:ascii="Arial" w:hAnsi="Arial"/>
                <w:sz w:val="18"/>
                <w:szCs w:val="18"/>
              </w:rPr>
              <w:t>(подпись)</w:t>
            </w:r>
          </w:p>
        </w:tc>
        <w:tc>
          <w:tcPr>
            <w:tcW w:w="210" w:type="dxa"/>
            <w:shd w:val="clear" w:color="auto" w:fill="auto"/>
            <w:tcMar>
              <w:left w:w="0" w:type="dxa"/>
            </w:tcMar>
            <w:vAlign w:val="center"/>
          </w:tcPr>
          <w:p w:rsidR="00716B8B" w:rsidRDefault="00716B8B">
            <w:pPr>
              <w:spacing w:after="0"/>
            </w:pPr>
          </w:p>
        </w:tc>
        <w:tc>
          <w:tcPr>
            <w:tcW w:w="2520" w:type="dxa"/>
            <w:gridSpan w:val="3"/>
            <w:tcBorders>
              <w:top w:val="single" w:sz="5" w:space="0" w:color="auto"/>
            </w:tcBorders>
            <w:shd w:val="clear" w:color="auto" w:fill="auto"/>
            <w:vAlign w:val="center"/>
          </w:tcPr>
          <w:p w:rsidR="00716B8B" w:rsidRDefault="005D4FA8">
            <w:pPr>
              <w:spacing w:after="0"/>
              <w:jc w:val="center"/>
            </w:pPr>
            <w:r>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3"/>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29.04.2025</w:t>
            </w:r>
          </w:p>
        </w:tc>
        <w:tc>
          <w:tcPr>
            <w:tcW w:w="210" w:type="dxa"/>
            <w:shd w:val="clear" w:color="auto" w:fill="auto"/>
            <w:tcMar>
              <w:left w:w="0" w:type="dxa"/>
            </w:tcMar>
            <w:vAlign w:val="center"/>
          </w:tcPr>
          <w:p w:rsidR="00716B8B" w:rsidRDefault="00716B8B">
            <w:pPr>
              <w:spacing w:after="0"/>
            </w:pPr>
          </w:p>
        </w:tc>
        <w:tc>
          <w:tcPr>
            <w:tcW w:w="2520"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3"/>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660"/>
        <w:gridCol w:w="75"/>
        <w:gridCol w:w="285"/>
        <w:gridCol w:w="1215"/>
        <w:gridCol w:w="210"/>
        <w:gridCol w:w="435"/>
        <w:gridCol w:w="495"/>
        <w:gridCol w:w="750"/>
        <w:gridCol w:w="840"/>
        <w:gridCol w:w="210"/>
        <w:gridCol w:w="540"/>
        <w:gridCol w:w="1560"/>
        <w:gridCol w:w="420"/>
        <w:gridCol w:w="210"/>
        <w:gridCol w:w="165"/>
        <w:gridCol w:w="2355"/>
      </w:tblGrid>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4"/>
            <w:shd w:val="clear" w:color="auto" w:fill="auto"/>
            <w:tcMar>
              <w:right w:w="0" w:type="dxa"/>
            </w:tcMar>
            <w:vAlign w:val="center"/>
          </w:tcPr>
          <w:p w:rsidR="00716B8B" w:rsidRDefault="00716B8B">
            <w:pPr>
              <w:spacing w:after="0"/>
              <w:jc w:val="right"/>
            </w:pPr>
          </w:p>
        </w:tc>
        <w:tc>
          <w:tcPr>
            <w:tcW w:w="2340" w:type="dxa"/>
            <w:gridSpan w:val="4"/>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 xml:space="preserve">Приложение 2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4"/>
            <w:shd w:val="clear" w:color="auto" w:fill="auto"/>
            <w:vAlign w:val="center"/>
          </w:tcPr>
          <w:p w:rsidR="00716B8B" w:rsidRDefault="00716B8B">
            <w:pPr>
              <w:spacing w:after="0"/>
              <w:jc w:val="center"/>
            </w:pPr>
          </w:p>
        </w:tc>
        <w:tc>
          <w:tcPr>
            <w:tcW w:w="2340" w:type="dxa"/>
            <w:gridSpan w:val="4"/>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9"/>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 организации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4"/>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34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 ОКПО</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ИНН</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45296561000</w:t>
            </w:r>
          </w:p>
        </w:tc>
        <w:tc>
          <w:tcPr>
            <w:tcW w:w="234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63682124</w:t>
            </w:r>
          </w:p>
        </w:tc>
        <w:tc>
          <w:tcPr>
            <w:tcW w:w="235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9725165895</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40" w:type="dxa"/>
            <w:gridSpan w:val="4"/>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24"/>
                <w:szCs w:val="24"/>
              </w:rPr>
              <w:t>ОТЧЕТ О ФИНАНСОВЫХ РЕЗУЛЬТАТАХ ОРГАНИЗАЦИИ</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24"/>
                <w:szCs w:val="24"/>
              </w:rPr>
              <w:t>на 1 квартал 2025 г.</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40" w:type="dxa"/>
            <w:gridSpan w:val="4"/>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0425" w:type="dxa"/>
            <w:gridSpan w:val="16"/>
            <w:tcBorders>
              <w:bottom w:val="none" w:sz="5" w:space="0" w:color="auto"/>
            </w:tcBorders>
            <w:shd w:val="clear" w:color="auto" w:fill="auto"/>
            <w:vAlign w:val="center"/>
          </w:tcPr>
          <w:p w:rsidR="00716B8B" w:rsidRDefault="005D4FA8">
            <w:pPr>
              <w:wordWrap w:val="0"/>
              <w:spacing w:after="0"/>
              <w:jc w:val="center"/>
            </w:pPr>
            <w:r>
              <w:rPr>
                <w:rFonts w:ascii="Arial" w:hAnsi="Arial"/>
                <w:b/>
                <w:sz w:val="18"/>
                <w:szCs w:val="18"/>
              </w:rPr>
              <w:t>Общество с ограниченной ответственностью "НЭКСТ"</w:t>
            </w:r>
          </w:p>
        </w:tc>
      </w:tr>
      <w:tr w:rsidR="00716B8B">
        <w:trPr>
          <w:cantSplit/>
        </w:trPr>
        <w:tc>
          <w:tcPr>
            <w:tcW w:w="135" w:type="dxa"/>
            <w:shd w:val="clear" w:color="auto" w:fill="auto"/>
            <w:vAlign w:val="center"/>
          </w:tcPr>
          <w:p w:rsidR="00716B8B" w:rsidRDefault="00716B8B">
            <w:pPr>
              <w:wordWrap w:val="0"/>
              <w:spacing w:after="0"/>
              <w:jc w:val="center"/>
            </w:pPr>
          </w:p>
        </w:tc>
        <w:tc>
          <w:tcPr>
            <w:tcW w:w="10425" w:type="dxa"/>
            <w:gridSpan w:val="16"/>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ООО "НЭКСТ"</w:t>
            </w:r>
          </w:p>
        </w:tc>
      </w:tr>
      <w:tr w:rsidR="00716B8B">
        <w:trPr>
          <w:cantSplit/>
        </w:trPr>
        <w:tc>
          <w:tcPr>
            <w:tcW w:w="135" w:type="dxa"/>
            <w:shd w:val="clear" w:color="auto" w:fill="auto"/>
            <w:vAlign w:val="center"/>
          </w:tcPr>
          <w:p w:rsidR="00716B8B" w:rsidRDefault="00716B8B">
            <w:pPr>
              <w:wordWrap w:val="0"/>
              <w:spacing w:after="0"/>
              <w:jc w:val="center"/>
            </w:pPr>
          </w:p>
        </w:tc>
        <w:tc>
          <w:tcPr>
            <w:tcW w:w="10425" w:type="dxa"/>
            <w:gridSpan w:val="16"/>
            <w:shd w:val="clear" w:color="auto" w:fill="auto"/>
            <w:vAlign w:val="center"/>
          </w:tcPr>
          <w:p w:rsidR="00716B8B" w:rsidRDefault="005D4FA8">
            <w:pPr>
              <w:spacing w:after="0"/>
              <w:jc w:val="center"/>
            </w:pPr>
            <w:r>
              <w:rPr>
                <w:rFonts w:ascii="Arial" w:hAnsi="Arial"/>
                <w:b/>
                <w:sz w:val="18"/>
                <w:szCs w:val="18"/>
              </w:rPr>
              <w:t>(полное и (или) сокращенное фирменные наименования)</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40" w:type="dxa"/>
            <w:gridSpan w:val="4"/>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6"/>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16"/>
            <w:shd w:val="clear" w:color="auto" w:fill="auto"/>
            <w:vAlign w:val="center"/>
          </w:tcPr>
          <w:p w:rsidR="00716B8B" w:rsidRDefault="005D4FA8">
            <w:pPr>
              <w:spacing w:after="0"/>
              <w:jc w:val="center"/>
            </w:pPr>
            <w:r>
              <w:rPr>
                <w:rFonts w:ascii="Arial" w:hAnsi="Arial"/>
                <w:b/>
                <w:sz w:val="18"/>
                <w:szCs w:val="18"/>
              </w:rPr>
              <w:t>(адрес организации в пределах места нахождения организации)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gridSpan w:val="4"/>
            <w:shd w:val="clear" w:color="auto" w:fill="auto"/>
            <w:tcMar>
              <w:left w:w="0" w:type="dxa"/>
            </w:tcMar>
            <w:vAlign w:val="center"/>
          </w:tcPr>
          <w:p w:rsidR="00716B8B" w:rsidRDefault="00716B8B">
            <w:pPr>
              <w:spacing w:after="0"/>
            </w:pPr>
          </w:p>
        </w:tc>
        <w:tc>
          <w:tcPr>
            <w:tcW w:w="2340" w:type="dxa"/>
            <w:gridSpan w:val="4"/>
            <w:shd w:val="clear" w:color="auto" w:fill="auto"/>
            <w:tcMar>
              <w:right w:w="0" w:type="dxa"/>
            </w:tcMar>
            <w:vAlign w:val="center"/>
          </w:tcPr>
          <w:p w:rsidR="00716B8B" w:rsidRDefault="00716B8B">
            <w:pPr>
              <w:spacing w:after="0"/>
              <w:jc w:val="right"/>
            </w:pPr>
          </w:p>
        </w:tc>
        <w:tc>
          <w:tcPr>
            <w:tcW w:w="2355" w:type="dxa"/>
            <w:gridSpan w:val="4"/>
            <w:shd w:val="clear" w:color="auto" w:fill="auto"/>
            <w:tcMar>
              <w:right w:w="0" w:type="dxa"/>
            </w:tcMar>
            <w:vAlign w:val="center"/>
          </w:tcPr>
          <w:p w:rsidR="00716B8B" w:rsidRDefault="00716B8B">
            <w:pPr>
              <w:spacing w:after="0"/>
              <w:jc w:val="right"/>
            </w:pPr>
          </w:p>
        </w:tc>
        <w:tc>
          <w:tcPr>
            <w:tcW w:w="235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gridSpan w:val="4"/>
            <w:shd w:val="clear" w:color="auto" w:fill="auto"/>
            <w:tcMar>
              <w:left w:w="0" w:type="dxa"/>
            </w:tcMar>
            <w:vAlign w:val="center"/>
          </w:tcPr>
          <w:p w:rsidR="00716B8B" w:rsidRDefault="00716B8B">
            <w:pPr>
              <w:spacing w:after="0"/>
            </w:pPr>
          </w:p>
        </w:tc>
        <w:tc>
          <w:tcPr>
            <w:tcW w:w="2340" w:type="dxa"/>
            <w:gridSpan w:val="4"/>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Код формы по ОКУД 0420003</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gridSpan w:val="4"/>
            <w:shd w:val="clear" w:color="auto" w:fill="auto"/>
            <w:tcMar>
              <w:right w:w="0" w:type="dxa"/>
            </w:tcMar>
            <w:vAlign w:val="center"/>
          </w:tcPr>
          <w:p w:rsidR="00716B8B" w:rsidRDefault="00716B8B">
            <w:pPr>
              <w:spacing w:after="0"/>
              <w:jc w:val="right"/>
            </w:pPr>
          </w:p>
        </w:tc>
        <w:tc>
          <w:tcPr>
            <w:tcW w:w="2340" w:type="dxa"/>
            <w:gridSpan w:val="4"/>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b/>
                <w:sz w:val="18"/>
                <w:szCs w:val="18"/>
              </w:rPr>
              <w:t>Годовая (квартальная, полугодовая, за 9 месяцев)</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gridSpan w:val="4"/>
            <w:shd w:val="clear" w:color="auto" w:fill="auto"/>
            <w:tcMar>
              <w:right w:w="0" w:type="dxa"/>
            </w:tcMar>
            <w:vAlign w:val="center"/>
          </w:tcPr>
          <w:p w:rsidR="00716B8B" w:rsidRDefault="00716B8B">
            <w:pPr>
              <w:spacing w:after="0"/>
              <w:jc w:val="right"/>
            </w:pPr>
          </w:p>
        </w:tc>
        <w:tc>
          <w:tcPr>
            <w:tcW w:w="2340" w:type="dxa"/>
            <w:gridSpan w:val="4"/>
            <w:shd w:val="clear" w:color="auto" w:fill="auto"/>
            <w:tcMar>
              <w:right w:w="0" w:type="dxa"/>
            </w:tcMar>
            <w:vAlign w:val="center"/>
          </w:tcPr>
          <w:p w:rsidR="00716B8B" w:rsidRDefault="00716B8B">
            <w:pPr>
              <w:spacing w:after="0"/>
              <w:jc w:val="right"/>
            </w:pPr>
          </w:p>
        </w:tc>
        <w:tc>
          <w:tcPr>
            <w:tcW w:w="4710" w:type="dxa"/>
            <w:gridSpan w:val="5"/>
            <w:shd w:val="clear" w:color="auto" w:fill="auto"/>
            <w:tcMar>
              <w:right w:w="0"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40" w:type="dxa"/>
            <w:gridSpan w:val="4"/>
            <w:shd w:val="clear" w:color="auto" w:fill="auto"/>
            <w:vAlign w:val="center"/>
          </w:tcPr>
          <w:p w:rsidR="00716B8B" w:rsidRDefault="00716B8B">
            <w:pPr>
              <w:spacing w:after="0"/>
              <w:jc w:val="center"/>
            </w:pPr>
          </w:p>
        </w:tc>
        <w:tc>
          <w:tcPr>
            <w:tcW w:w="2355" w:type="dxa"/>
            <w:gridSpan w:val="4"/>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примечания</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2025г.</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3390"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 Прибыли и убытки</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Торговые и инвестиционные доходы, в том числе:</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wordWrap w:val="0"/>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4 866</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4 866</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rsidP="00FD44D9">
            <w:pPr>
              <w:spacing w:after="0"/>
            </w:pPr>
            <w:r>
              <w:rPr>
                <w:rFonts w:ascii="Arial" w:hAnsi="Arial"/>
                <w:sz w:val="18"/>
                <w:szCs w:val="18"/>
              </w:rPr>
              <w:t>процентные доходы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wordWrap w:val="0"/>
              <w:spacing w:after="0"/>
              <w:jc w:val="center"/>
            </w:pPr>
            <w:r>
              <w:rPr>
                <w:rFonts w:ascii="Arial" w:hAnsi="Arial"/>
                <w:sz w:val="18"/>
                <w:szCs w:val="18"/>
              </w:rPr>
              <w:t>34</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4 866</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4 866</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Выручка от оказания услуг и комиссионные доходы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40</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2 703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2 703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на персонал</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41</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(1 463)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(1 463)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Прямые операционные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42</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Процентные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Общие и административные расходы</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(4 714)</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(4 714)</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Прибыль (убыток) до налогообложения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1 022</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1 022</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Налог на прибыль, в том числе:</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(256)</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(256)</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текущий налог на прибыль</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(338)</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(338)</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11</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отложенный налог на прибыль</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83</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83</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Прибыль (убыток) после налогообложения</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767</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767</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13</w:t>
            </w:r>
          </w:p>
        </w:tc>
        <w:tc>
          <w:tcPr>
            <w:tcW w:w="3390"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II. Прочий совокупный доход</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w:t>
            </w:r>
          </w:p>
        </w:tc>
        <w:tc>
          <w:tcPr>
            <w:tcW w:w="2145"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 совокупного дохода (расхода)</w:t>
            </w:r>
          </w:p>
        </w:tc>
        <w:tc>
          <w:tcPr>
            <w:tcW w:w="12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wordWrap w:val="0"/>
              <w:spacing w:after="0"/>
              <w:jc w:val="center"/>
            </w:pP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767</w:t>
            </w:r>
          </w:p>
        </w:tc>
        <w:tc>
          <w:tcPr>
            <w:tcW w:w="31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767</w:t>
            </w: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shd w:val="clear" w:color="auto" w:fill="auto"/>
            <w:tcMar>
              <w:left w:w="0" w:type="dxa"/>
            </w:tcMar>
            <w:vAlign w:val="center"/>
          </w:tcPr>
          <w:p w:rsidR="00716B8B" w:rsidRDefault="00716B8B">
            <w:pPr>
              <w:spacing w:after="0"/>
            </w:pPr>
          </w:p>
        </w:tc>
        <w:tc>
          <w:tcPr>
            <w:tcW w:w="210" w:type="dxa"/>
            <w:shd w:val="clear" w:color="auto" w:fill="auto"/>
            <w:vAlign w:val="center"/>
          </w:tcPr>
          <w:p w:rsidR="00716B8B" w:rsidRDefault="00716B8B">
            <w:pPr>
              <w:spacing w:after="0"/>
              <w:jc w:val="center"/>
            </w:pPr>
          </w:p>
        </w:tc>
        <w:tc>
          <w:tcPr>
            <w:tcW w:w="2520" w:type="dxa"/>
            <w:gridSpan w:val="4"/>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Генеральный директор</w:t>
            </w:r>
          </w:p>
        </w:tc>
        <w:tc>
          <w:tcPr>
            <w:tcW w:w="210" w:type="dxa"/>
            <w:shd w:val="clear" w:color="auto" w:fill="auto"/>
            <w:vAlign w:val="center"/>
          </w:tcPr>
          <w:p w:rsidR="00716B8B" w:rsidRDefault="00716B8B">
            <w:pPr>
              <w:spacing w:after="0"/>
              <w:jc w:val="center"/>
            </w:pPr>
          </w:p>
        </w:tc>
        <w:tc>
          <w:tcPr>
            <w:tcW w:w="2520" w:type="dxa"/>
            <w:gridSpan w:val="4"/>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top w:val="single" w:sz="5" w:space="0" w:color="auto"/>
            </w:tcBorders>
            <w:shd w:val="clear" w:color="auto" w:fill="auto"/>
          </w:tcPr>
          <w:p w:rsidR="00716B8B" w:rsidRDefault="005D4FA8">
            <w:pPr>
              <w:spacing w:after="0"/>
              <w:jc w:val="center"/>
            </w:pPr>
            <w:r>
              <w:rPr>
                <w:rFonts w:ascii="Arial" w:hAnsi="Arial"/>
                <w:sz w:val="18"/>
                <w:szCs w:val="18"/>
              </w:rPr>
              <w:t>(должность)</w:t>
            </w:r>
          </w:p>
        </w:tc>
        <w:tc>
          <w:tcPr>
            <w:tcW w:w="210" w:type="dxa"/>
            <w:shd w:val="clear" w:color="auto" w:fill="auto"/>
            <w:tcMar>
              <w:left w:w="0" w:type="dxa"/>
            </w:tcMar>
            <w:vAlign w:val="center"/>
          </w:tcPr>
          <w:p w:rsidR="00716B8B" w:rsidRDefault="00716B8B">
            <w:pPr>
              <w:spacing w:after="0"/>
            </w:pPr>
          </w:p>
        </w:tc>
        <w:tc>
          <w:tcPr>
            <w:tcW w:w="2520" w:type="dxa"/>
            <w:gridSpan w:val="4"/>
            <w:tcBorders>
              <w:top w:val="single" w:sz="5" w:space="0" w:color="auto"/>
            </w:tcBorders>
            <w:shd w:val="clear" w:color="auto" w:fill="auto"/>
          </w:tcPr>
          <w:p w:rsidR="00716B8B" w:rsidRDefault="005D4FA8">
            <w:pPr>
              <w:spacing w:after="0"/>
              <w:jc w:val="center"/>
            </w:pPr>
            <w:r>
              <w:rPr>
                <w:rFonts w:ascii="Arial" w:hAnsi="Arial"/>
                <w:sz w:val="18"/>
                <w:szCs w:val="18"/>
              </w:rPr>
              <w:t>(подпись)</w:t>
            </w:r>
          </w:p>
        </w:tc>
        <w:tc>
          <w:tcPr>
            <w:tcW w:w="210" w:type="dxa"/>
            <w:shd w:val="clear" w:color="auto" w:fill="auto"/>
            <w:tcMar>
              <w:left w:w="0" w:type="dxa"/>
            </w:tcMar>
            <w:vAlign w:val="center"/>
          </w:tcPr>
          <w:p w:rsidR="00716B8B" w:rsidRDefault="00716B8B">
            <w:pPr>
              <w:spacing w:after="0"/>
            </w:pPr>
          </w:p>
        </w:tc>
        <w:tc>
          <w:tcPr>
            <w:tcW w:w="2520" w:type="dxa"/>
            <w:gridSpan w:val="3"/>
            <w:tcBorders>
              <w:top w:val="single" w:sz="5" w:space="0" w:color="auto"/>
            </w:tcBorders>
            <w:shd w:val="clear" w:color="auto" w:fill="auto"/>
            <w:vAlign w:val="center"/>
          </w:tcPr>
          <w:p w:rsidR="00716B8B" w:rsidRDefault="005D4FA8">
            <w:pPr>
              <w:spacing w:after="0"/>
              <w:jc w:val="center"/>
            </w:pPr>
            <w:r>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3"/>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4"/>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29.04.2025</w:t>
            </w:r>
          </w:p>
        </w:tc>
        <w:tc>
          <w:tcPr>
            <w:tcW w:w="210" w:type="dxa"/>
            <w:shd w:val="clear" w:color="auto" w:fill="auto"/>
            <w:tcMar>
              <w:left w:w="0" w:type="dxa"/>
            </w:tcMar>
            <w:vAlign w:val="center"/>
          </w:tcPr>
          <w:p w:rsidR="00716B8B" w:rsidRDefault="00716B8B">
            <w:pPr>
              <w:spacing w:after="0"/>
            </w:pPr>
          </w:p>
        </w:tc>
        <w:tc>
          <w:tcPr>
            <w:tcW w:w="2520" w:type="dxa"/>
            <w:gridSpan w:val="4"/>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3"/>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bl>
    <w:p w:rsidR="00716B8B" w:rsidRDefault="00716B8B">
      <w:pPr>
        <w:sectPr w:rsidR="00716B8B">
          <w:pgSz w:w="11907" w:h="16839"/>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495"/>
        <w:gridCol w:w="1710"/>
        <w:gridCol w:w="30"/>
        <w:gridCol w:w="210"/>
        <w:gridCol w:w="615"/>
        <w:gridCol w:w="1845"/>
        <w:gridCol w:w="60"/>
        <w:gridCol w:w="210"/>
        <w:gridCol w:w="330"/>
        <w:gridCol w:w="2040"/>
        <w:gridCol w:w="150"/>
        <w:gridCol w:w="210"/>
        <w:gridCol w:w="915"/>
        <w:gridCol w:w="1365"/>
        <w:gridCol w:w="240"/>
        <w:gridCol w:w="1695"/>
        <w:gridCol w:w="705"/>
        <w:gridCol w:w="2610"/>
        <w:gridCol w:w="30"/>
      </w:tblGrid>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tcMar>
              <w:left w:w="0" w:type="dxa"/>
            </w:tcMar>
            <w:vAlign w:val="center"/>
          </w:tcPr>
          <w:p w:rsidR="00716B8B" w:rsidRDefault="00716B8B">
            <w:pPr>
              <w:spacing w:after="0"/>
            </w:pPr>
          </w:p>
        </w:tc>
        <w:tc>
          <w:tcPr>
            <w:tcW w:w="2640" w:type="dxa"/>
            <w:gridSpan w:val="4"/>
            <w:shd w:val="clear" w:color="auto" w:fill="auto"/>
            <w:tcMar>
              <w:right w:w="0" w:type="dxa"/>
            </w:tcMar>
            <w:vAlign w:val="center"/>
          </w:tcPr>
          <w:p w:rsidR="00716B8B" w:rsidRDefault="00716B8B">
            <w:pPr>
              <w:spacing w:after="0"/>
              <w:jc w:val="right"/>
            </w:pPr>
          </w:p>
        </w:tc>
        <w:tc>
          <w:tcPr>
            <w:tcW w:w="2640" w:type="dxa"/>
            <w:gridSpan w:val="4"/>
            <w:shd w:val="clear" w:color="auto" w:fill="auto"/>
            <w:tcMar>
              <w:right w:w="0" w:type="dxa"/>
            </w:tcMar>
            <w:vAlign w:val="center"/>
          </w:tcPr>
          <w:p w:rsidR="00716B8B" w:rsidRDefault="00716B8B">
            <w:pPr>
              <w:spacing w:after="0"/>
              <w:jc w:val="right"/>
            </w:pPr>
          </w:p>
        </w:tc>
        <w:tc>
          <w:tcPr>
            <w:tcW w:w="5280" w:type="dxa"/>
            <w:gridSpan w:val="5"/>
            <w:shd w:val="clear" w:color="auto" w:fill="auto"/>
            <w:tcMar>
              <w:right w:w="0" w:type="dxa"/>
            </w:tcMar>
            <w:vAlign w:val="center"/>
          </w:tcPr>
          <w:p w:rsidR="00716B8B" w:rsidRDefault="005D4FA8">
            <w:pPr>
              <w:spacing w:after="0"/>
              <w:jc w:val="right"/>
            </w:pPr>
            <w:r>
              <w:rPr>
                <w:rFonts w:ascii="Arial" w:hAnsi="Arial"/>
                <w:b/>
                <w:sz w:val="18"/>
                <w:szCs w:val="18"/>
              </w:rPr>
              <w:t xml:space="preserve">Приложение 3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tcMar>
              <w:left w:w="0" w:type="dxa"/>
            </w:tcMar>
            <w:vAlign w:val="center"/>
          </w:tcPr>
          <w:p w:rsidR="00716B8B" w:rsidRDefault="00716B8B">
            <w:pPr>
              <w:spacing w:after="0"/>
            </w:pPr>
          </w:p>
        </w:tc>
        <w:tc>
          <w:tcPr>
            <w:tcW w:w="2640" w:type="dxa"/>
            <w:gridSpan w:val="4"/>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3"/>
            <w:shd w:val="clear" w:color="auto" w:fill="auto"/>
            <w:vAlign w:val="center"/>
          </w:tcPr>
          <w:p w:rsidR="00716B8B" w:rsidRDefault="00716B8B">
            <w:pPr>
              <w:spacing w:after="0"/>
              <w:jc w:val="center"/>
            </w:pPr>
          </w:p>
        </w:tc>
        <w:tc>
          <w:tcPr>
            <w:tcW w:w="2640" w:type="dxa"/>
            <w:gridSpan w:val="2"/>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tcMar>
              <w:left w:w="0" w:type="dxa"/>
            </w:tcMar>
            <w:vAlign w:val="center"/>
          </w:tcPr>
          <w:p w:rsidR="00716B8B" w:rsidRDefault="00716B8B">
            <w:pPr>
              <w:spacing w:after="0"/>
            </w:pPr>
          </w:p>
        </w:tc>
        <w:tc>
          <w:tcPr>
            <w:tcW w:w="2640" w:type="dxa"/>
            <w:gridSpan w:val="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920" w:type="dxa"/>
            <w:gridSpan w:val="9"/>
            <w:tcBorders>
              <w:top w:val="single" w:sz="5" w:space="0" w:color="auto"/>
              <w:left w:val="single" w:sz="5" w:space="0" w:color="auto"/>
            </w:tcBorders>
            <w:shd w:val="clear" w:color="auto" w:fill="auto"/>
            <w:vAlign w:val="center"/>
          </w:tcPr>
          <w:p w:rsidR="00716B8B" w:rsidRDefault="005D4FA8">
            <w:pPr>
              <w:spacing w:after="0"/>
              <w:jc w:val="center"/>
            </w:pPr>
            <w:r>
              <w:rPr>
                <w:rFonts w:ascii="Arial" w:hAnsi="Arial"/>
                <w:b/>
                <w:sz w:val="18"/>
                <w:szCs w:val="18"/>
              </w:rPr>
              <w:t>Код организации</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tcMar>
              <w:left w:w="0" w:type="dxa"/>
            </w:tcMar>
            <w:vAlign w:val="center"/>
          </w:tcPr>
          <w:p w:rsidR="00716B8B" w:rsidRDefault="00716B8B">
            <w:pPr>
              <w:spacing w:after="0"/>
            </w:pPr>
          </w:p>
        </w:tc>
        <w:tc>
          <w:tcPr>
            <w:tcW w:w="2640" w:type="dxa"/>
            <w:gridSpan w:val="4"/>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64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 ОКПО</w:t>
            </w:r>
          </w:p>
        </w:tc>
        <w:tc>
          <w:tcPr>
            <w:tcW w:w="26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ОГРН</w:t>
            </w:r>
          </w:p>
        </w:tc>
        <w:tc>
          <w:tcPr>
            <w:tcW w:w="26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ИНН</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tcMar>
              <w:left w:w="0" w:type="dxa"/>
            </w:tcMar>
            <w:vAlign w:val="center"/>
          </w:tcPr>
          <w:p w:rsidR="00716B8B" w:rsidRDefault="00716B8B">
            <w:pPr>
              <w:spacing w:after="0"/>
            </w:pPr>
          </w:p>
        </w:tc>
        <w:tc>
          <w:tcPr>
            <w:tcW w:w="264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45296561000</w:t>
            </w:r>
          </w:p>
        </w:tc>
        <w:tc>
          <w:tcPr>
            <w:tcW w:w="264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63682124</w:t>
            </w:r>
          </w:p>
        </w:tc>
        <w:tc>
          <w:tcPr>
            <w:tcW w:w="26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1247700535697</w:t>
            </w:r>
          </w:p>
        </w:tc>
        <w:tc>
          <w:tcPr>
            <w:tcW w:w="26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9725165895</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3"/>
            <w:shd w:val="clear" w:color="auto" w:fill="auto"/>
            <w:vAlign w:val="center"/>
          </w:tcPr>
          <w:p w:rsidR="00716B8B" w:rsidRDefault="00716B8B">
            <w:pPr>
              <w:spacing w:after="0"/>
              <w:jc w:val="center"/>
            </w:pPr>
          </w:p>
        </w:tc>
        <w:tc>
          <w:tcPr>
            <w:tcW w:w="2640" w:type="dxa"/>
            <w:gridSpan w:val="2"/>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5465" w:type="dxa"/>
            <w:gridSpan w:val="19"/>
            <w:shd w:val="clear" w:color="auto" w:fill="auto"/>
            <w:vAlign w:val="center"/>
          </w:tcPr>
          <w:p w:rsidR="00716B8B" w:rsidRDefault="005D4FA8">
            <w:pPr>
              <w:spacing w:after="0"/>
              <w:jc w:val="center"/>
            </w:pPr>
            <w:r>
              <w:rPr>
                <w:rFonts w:ascii="Arial" w:hAnsi="Arial"/>
                <w:b/>
                <w:sz w:val="24"/>
                <w:szCs w:val="24"/>
              </w:rPr>
              <w:t>ОТЧЕТ ОБ ИЗМЕНЕНИЯХ КАПИТАЛА ОРГАНИЗАЦИИ</w:t>
            </w:r>
          </w:p>
        </w:tc>
      </w:tr>
      <w:tr w:rsidR="00716B8B">
        <w:trPr>
          <w:cantSplit/>
        </w:trPr>
        <w:tc>
          <w:tcPr>
            <w:tcW w:w="135" w:type="dxa"/>
            <w:shd w:val="clear" w:color="auto" w:fill="auto"/>
            <w:vAlign w:val="center"/>
          </w:tcPr>
          <w:p w:rsidR="00716B8B" w:rsidRDefault="00716B8B">
            <w:pPr>
              <w:spacing w:after="0"/>
              <w:jc w:val="center"/>
            </w:pPr>
          </w:p>
        </w:tc>
        <w:tc>
          <w:tcPr>
            <w:tcW w:w="15465" w:type="dxa"/>
            <w:gridSpan w:val="19"/>
            <w:shd w:val="clear" w:color="auto" w:fill="auto"/>
            <w:vAlign w:val="center"/>
          </w:tcPr>
          <w:p w:rsidR="00716B8B" w:rsidRDefault="005D4FA8">
            <w:pPr>
              <w:spacing w:after="0"/>
              <w:jc w:val="center"/>
            </w:pPr>
            <w:r>
              <w:rPr>
                <w:rFonts w:ascii="Arial" w:hAnsi="Arial"/>
                <w:b/>
                <w:sz w:val="24"/>
                <w:szCs w:val="24"/>
              </w:rPr>
              <w:t>на 1 квартал 2025 г.</w:t>
            </w:r>
          </w:p>
        </w:tc>
      </w:tr>
      <w:tr w:rsidR="00716B8B" w:rsidTr="005D4FA8">
        <w:trPr>
          <w:cantSplit/>
          <w:trHeight w:val="701"/>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3"/>
            <w:shd w:val="clear" w:color="auto" w:fill="auto"/>
            <w:vAlign w:val="center"/>
          </w:tcPr>
          <w:p w:rsidR="00716B8B" w:rsidRDefault="00716B8B">
            <w:pPr>
              <w:spacing w:after="0"/>
              <w:jc w:val="center"/>
            </w:pPr>
          </w:p>
        </w:tc>
        <w:tc>
          <w:tcPr>
            <w:tcW w:w="2640" w:type="dxa"/>
            <w:gridSpan w:val="2"/>
            <w:shd w:val="clear" w:color="auto" w:fill="auto"/>
            <w:vAlign w:val="center"/>
          </w:tcPr>
          <w:p w:rsidR="00716B8B" w:rsidRDefault="00716B8B">
            <w:pPr>
              <w:spacing w:after="0"/>
              <w:jc w:val="center"/>
            </w:pPr>
          </w:p>
        </w:tc>
      </w:tr>
      <w:tr w:rsidR="00716B8B">
        <w:trPr>
          <w:cantSplit/>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5465" w:type="dxa"/>
            <w:gridSpan w:val="19"/>
            <w:tcBorders>
              <w:bottom w:val="none" w:sz="5" w:space="0" w:color="auto"/>
            </w:tcBorders>
            <w:shd w:val="clear" w:color="auto" w:fill="auto"/>
            <w:vAlign w:val="center"/>
          </w:tcPr>
          <w:p w:rsidR="00716B8B" w:rsidRDefault="005D4FA8">
            <w:pPr>
              <w:wordWrap w:val="0"/>
              <w:spacing w:after="0"/>
              <w:jc w:val="center"/>
            </w:pPr>
            <w:r>
              <w:rPr>
                <w:rFonts w:ascii="Arial" w:hAnsi="Arial"/>
                <w:b/>
                <w:sz w:val="18"/>
                <w:szCs w:val="18"/>
              </w:rPr>
              <w:t>Общество с ограниченной ответственностью "НЭКСТ"</w:t>
            </w:r>
          </w:p>
        </w:tc>
      </w:tr>
      <w:tr w:rsidR="00716B8B" w:rsidTr="005D4FA8">
        <w:trPr>
          <w:cantSplit/>
          <w:trHeight w:val="687"/>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5465" w:type="dxa"/>
            <w:gridSpan w:val="19"/>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ООО "НЭКСТ"</w:t>
            </w:r>
          </w:p>
        </w:tc>
      </w:tr>
      <w:tr w:rsidR="00716B8B">
        <w:trPr>
          <w:cantSplit/>
        </w:trPr>
        <w:tc>
          <w:tcPr>
            <w:tcW w:w="135" w:type="dxa"/>
            <w:shd w:val="clear" w:color="auto" w:fill="auto"/>
            <w:vAlign w:val="center"/>
          </w:tcPr>
          <w:p w:rsidR="00716B8B" w:rsidRDefault="00716B8B">
            <w:pPr>
              <w:wordWrap w:val="0"/>
              <w:spacing w:after="0"/>
              <w:jc w:val="center"/>
            </w:pPr>
          </w:p>
        </w:tc>
        <w:tc>
          <w:tcPr>
            <w:tcW w:w="15465" w:type="dxa"/>
            <w:gridSpan w:val="19"/>
            <w:shd w:val="clear" w:color="auto" w:fill="auto"/>
            <w:vAlign w:val="center"/>
          </w:tcPr>
          <w:p w:rsidR="00716B8B" w:rsidRDefault="005D4FA8">
            <w:pPr>
              <w:spacing w:after="0"/>
              <w:jc w:val="center"/>
            </w:pPr>
            <w:r>
              <w:rPr>
                <w:rFonts w:ascii="Arial" w:hAnsi="Arial"/>
                <w:b/>
                <w:sz w:val="18"/>
                <w:szCs w:val="18"/>
              </w:rPr>
              <w:t>(полное и (или) сокращенное фирменные наименования)</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3"/>
            <w:shd w:val="clear" w:color="auto" w:fill="auto"/>
            <w:vAlign w:val="center"/>
          </w:tcPr>
          <w:p w:rsidR="00716B8B" w:rsidRDefault="00716B8B">
            <w:pPr>
              <w:spacing w:after="0"/>
              <w:jc w:val="center"/>
            </w:pPr>
          </w:p>
        </w:tc>
        <w:tc>
          <w:tcPr>
            <w:tcW w:w="2640" w:type="dxa"/>
            <w:gridSpan w:val="2"/>
            <w:shd w:val="clear" w:color="auto" w:fill="auto"/>
            <w:vAlign w:val="center"/>
          </w:tcPr>
          <w:p w:rsidR="00716B8B" w:rsidRDefault="00716B8B">
            <w:pPr>
              <w:spacing w:after="0"/>
              <w:jc w:val="center"/>
            </w:pPr>
          </w:p>
        </w:tc>
      </w:tr>
      <w:tr w:rsidR="00716B8B" w:rsidTr="005D4FA8">
        <w:trPr>
          <w:cantSplit/>
          <w:trHeight w:val="649"/>
        </w:trPr>
        <w:tc>
          <w:tcPr>
            <w:tcW w:w="135" w:type="dxa"/>
            <w:shd w:val="clear" w:color="auto" w:fill="auto"/>
            <w:vAlign w:val="center"/>
          </w:tcPr>
          <w:p w:rsidR="00716B8B" w:rsidRDefault="00716B8B">
            <w:pPr>
              <w:spacing w:after="0"/>
              <w:jc w:val="center"/>
            </w:pPr>
          </w:p>
        </w:tc>
        <w:tc>
          <w:tcPr>
            <w:tcW w:w="15465" w:type="dxa"/>
            <w:gridSpan w:val="19"/>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9"/>
            <w:shd w:val="clear" w:color="auto" w:fill="auto"/>
            <w:vAlign w:val="center"/>
          </w:tcPr>
          <w:p w:rsidR="00716B8B" w:rsidRDefault="005D4FA8">
            <w:pPr>
              <w:spacing w:after="0"/>
              <w:jc w:val="center"/>
            </w:pPr>
            <w:r>
              <w:rPr>
                <w:rFonts w:ascii="Arial" w:hAnsi="Arial"/>
                <w:b/>
                <w:sz w:val="18"/>
                <w:szCs w:val="18"/>
              </w:rPr>
              <w:t>(адрес организации в пределах места нахождения организации)</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tcMar>
              <w:right w:w="0" w:type="dxa"/>
            </w:tcMar>
            <w:vAlign w:val="center"/>
          </w:tcPr>
          <w:p w:rsidR="00716B8B" w:rsidRDefault="00716B8B">
            <w:pPr>
              <w:spacing w:after="0"/>
              <w:jc w:val="right"/>
            </w:pPr>
          </w:p>
        </w:tc>
        <w:tc>
          <w:tcPr>
            <w:tcW w:w="1845" w:type="dxa"/>
            <w:shd w:val="clear" w:color="auto" w:fill="auto"/>
            <w:tcMar>
              <w:left w:w="0" w:type="dxa"/>
            </w:tcMar>
            <w:vAlign w:val="center"/>
          </w:tcPr>
          <w:p w:rsidR="00716B8B" w:rsidRDefault="00716B8B">
            <w:pPr>
              <w:spacing w:after="0"/>
            </w:pPr>
          </w:p>
        </w:tc>
        <w:tc>
          <w:tcPr>
            <w:tcW w:w="2640" w:type="dxa"/>
            <w:gridSpan w:val="4"/>
            <w:shd w:val="clear" w:color="auto" w:fill="auto"/>
            <w:tcMar>
              <w:left w:w="0" w:type="dxa"/>
            </w:tcMar>
            <w:vAlign w:val="center"/>
          </w:tcPr>
          <w:p w:rsidR="00716B8B" w:rsidRDefault="00716B8B">
            <w:pPr>
              <w:spacing w:after="0"/>
            </w:pPr>
          </w:p>
        </w:tc>
        <w:tc>
          <w:tcPr>
            <w:tcW w:w="2640" w:type="dxa"/>
            <w:gridSpan w:val="4"/>
            <w:shd w:val="clear" w:color="auto" w:fill="auto"/>
            <w:tcMar>
              <w:right w:w="0" w:type="dxa"/>
            </w:tcMar>
            <w:vAlign w:val="center"/>
          </w:tcPr>
          <w:p w:rsidR="00716B8B" w:rsidRDefault="00716B8B">
            <w:pPr>
              <w:spacing w:after="0"/>
              <w:jc w:val="right"/>
            </w:pPr>
          </w:p>
        </w:tc>
        <w:tc>
          <w:tcPr>
            <w:tcW w:w="2640" w:type="dxa"/>
            <w:gridSpan w:val="3"/>
            <w:shd w:val="clear" w:color="auto" w:fill="auto"/>
            <w:tcMar>
              <w:right w:w="0" w:type="dxa"/>
            </w:tcMar>
            <w:vAlign w:val="center"/>
          </w:tcPr>
          <w:p w:rsidR="00716B8B" w:rsidRDefault="00716B8B">
            <w:pPr>
              <w:spacing w:after="0"/>
              <w:jc w:val="right"/>
            </w:pPr>
          </w:p>
        </w:tc>
        <w:tc>
          <w:tcPr>
            <w:tcW w:w="264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3060" w:type="dxa"/>
            <w:gridSpan w:val="5"/>
            <w:shd w:val="clear" w:color="auto" w:fill="auto"/>
            <w:tcMar>
              <w:right w:w="0" w:type="dxa"/>
            </w:tcMar>
            <w:vAlign w:val="center"/>
          </w:tcPr>
          <w:p w:rsidR="00716B8B" w:rsidRDefault="00716B8B">
            <w:pPr>
              <w:spacing w:after="0"/>
              <w:jc w:val="right"/>
            </w:pPr>
          </w:p>
        </w:tc>
        <w:tc>
          <w:tcPr>
            <w:tcW w:w="1845" w:type="dxa"/>
            <w:shd w:val="clear" w:color="auto" w:fill="auto"/>
            <w:tcMar>
              <w:left w:w="0" w:type="dxa"/>
            </w:tcMar>
            <w:vAlign w:val="center"/>
          </w:tcPr>
          <w:p w:rsidR="00716B8B" w:rsidRDefault="00716B8B">
            <w:pPr>
              <w:spacing w:after="0"/>
            </w:pPr>
          </w:p>
        </w:tc>
        <w:tc>
          <w:tcPr>
            <w:tcW w:w="2640" w:type="dxa"/>
            <w:gridSpan w:val="4"/>
            <w:shd w:val="clear" w:color="auto" w:fill="auto"/>
            <w:tcMar>
              <w:left w:w="0" w:type="dxa"/>
            </w:tcMar>
            <w:vAlign w:val="center"/>
          </w:tcPr>
          <w:p w:rsidR="00716B8B" w:rsidRDefault="00716B8B">
            <w:pPr>
              <w:spacing w:after="0"/>
            </w:pPr>
          </w:p>
        </w:tc>
        <w:tc>
          <w:tcPr>
            <w:tcW w:w="2640" w:type="dxa"/>
            <w:gridSpan w:val="4"/>
            <w:shd w:val="clear" w:color="auto" w:fill="auto"/>
            <w:tcMar>
              <w:right w:w="0" w:type="dxa"/>
            </w:tcMar>
            <w:vAlign w:val="center"/>
          </w:tcPr>
          <w:p w:rsidR="00716B8B" w:rsidRDefault="00716B8B">
            <w:pPr>
              <w:spacing w:after="0"/>
              <w:jc w:val="right"/>
            </w:pPr>
          </w:p>
        </w:tc>
        <w:tc>
          <w:tcPr>
            <w:tcW w:w="5280" w:type="dxa"/>
            <w:gridSpan w:val="5"/>
            <w:shd w:val="clear" w:color="auto" w:fill="auto"/>
            <w:tcMar>
              <w:right w:w="0" w:type="dxa"/>
            </w:tcMar>
            <w:vAlign w:val="center"/>
          </w:tcPr>
          <w:p w:rsidR="00716B8B" w:rsidRDefault="005D4FA8">
            <w:pPr>
              <w:spacing w:after="0"/>
              <w:jc w:val="right"/>
            </w:pPr>
            <w:r>
              <w:rPr>
                <w:rFonts w:ascii="Arial" w:hAnsi="Arial"/>
                <w:b/>
                <w:sz w:val="18"/>
                <w:szCs w:val="18"/>
              </w:rPr>
              <w:t>Код формы по ОКУД 0420004</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3060" w:type="dxa"/>
            <w:gridSpan w:val="5"/>
            <w:shd w:val="clear" w:color="auto" w:fill="auto"/>
            <w:tcMar>
              <w:right w:w="0" w:type="dxa"/>
            </w:tcMar>
            <w:vAlign w:val="center"/>
          </w:tcPr>
          <w:p w:rsidR="00716B8B" w:rsidRDefault="00716B8B">
            <w:pPr>
              <w:spacing w:after="0"/>
              <w:jc w:val="right"/>
            </w:pPr>
          </w:p>
        </w:tc>
        <w:tc>
          <w:tcPr>
            <w:tcW w:w="1845" w:type="dxa"/>
            <w:shd w:val="clear" w:color="auto" w:fill="auto"/>
            <w:tcMar>
              <w:right w:w="0" w:type="dxa"/>
            </w:tcMar>
            <w:vAlign w:val="center"/>
          </w:tcPr>
          <w:p w:rsidR="00716B8B" w:rsidRDefault="00716B8B">
            <w:pPr>
              <w:spacing w:after="0"/>
              <w:jc w:val="right"/>
            </w:pPr>
          </w:p>
        </w:tc>
        <w:tc>
          <w:tcPr>
            <w:tcW w:w="2640" w:type="dxa"/>
            <w:gridSpan w:val="4"/>
            <w:shd w:val="clear" w:color="auto" w:fill="auto"/>
            <w:tcMar>
              <w:right w:w="0" w:type="dxa"/>
            </w:tcMar>
            <w:vAlign w:val="center"/>
          </w:tcPr>
          <w:p w:rsidR="00716B8B" w:rsidRDefault="00716B8B">
            <w:pPr>
              <w:spacing w:after="0"/>
              <w:jc w:val="right"/>
            </w:pPr>
          </w:p>
        </w:tc>
        <w:tc>
          <w:tcPr>
            <w:tcW w:w="2640" w:type="dxa"/>
            <w:gridSpan w:val="4"/>
            <w:shd w:val="clear" w:color="auto" w:fill="auto"/>
            <w:tcMar>
              <w:right w:w="0" w:type="dxa"/>
            </w:tcMar>
            <w:vAlign w:val="center"/>
          </w:tcPr>
          <w:p w:rsidR="00716B8B" w:rsidRDefault="00716B8B">
            <w:pPr>
              <w:spacing w:after="0"/>
              <w:jc w:val="right"/>
            </w:pPr>
          </w:p>
        </w:tc>
        <w:tc>
          <w:tcPr>
            <w:tcW w:w="5280" w:type="dxa"/>
            <w:gridSpan w:val="5"/>
            <w:shd w:val="clear" w:color="auto" w:fill="auto"/>
            <w:tcMar>
              <w:right w:w="0" w:type="dxa"/>
            </w:tcMar>
            <w:vAlign w:val="center"/>
          </w:tcPr>
          <w:p w:rsidR="00716B8B" w:rsidRDefault="005D4FA8">
            <w:pPr>
              <w:spacing w:after="0"/>
              <w:jc w:val="right"/>
            </w:pPr>
            <w:r>
              <w:rPr>
                <w:rFonts w:ascii="Arial" w:hAnsi="Arial"/>
                <w:b/>
                <w:sz w:val="18"/>
                <w:szCs w:val="18"/>
              </w:rPr>
              <w:t>Годовая (квартальная, полугодовая, за 9 месяцев)</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3060" w:type="dxa"/>
            <w:gridSpan w:val="5"/>
            <w:shd w:val="clear" w:color="auto" w:fill="auto"/>
            <w:tcMar>
              <w:right w:w="0" w:type="dxa"/>
            </w:tcMar>
            <w:vAlign w:val="center"/>
          </w:tcPr>
          <w:p w:rsidR="00716B8B" w:rsidRDefault="00716B8B">
            <w:pPr>
              <w:spacing w:after="0"/>
              <w:jc w:val="right"/>
            </w:pPr>
          </w:p>
        </w:tc>
        <w:tc>
          <w:tcPr>
            <w:tcW w:w="1845" w:type="dxa"/>
            <w:shd w:val="clear" w:color="auto" w:fill="auto"/>
            <w:tcMar>
              <w:right w:w="0" w:type="dxa"/>
            </w:tcMar>
            <w:vAlign w:val="center"/>
          </w:tcPr>
          <w:p w:rsidR="00716B8B" w:rsidRDefault="00716B8B">
            <w:pPr>
              <w:spacing w:after="0"/>
              <w:jc w:val="right"/>
            </w:pPr>
          </w:p>
        </w:tc>
        <w:tc>
          <w:tcPr>
            <w:tcW w:w="2640" w:type="dxa"/>
            <w:gridSpan w:val="4"/>
            <w:shd w:val="clear" w:color="auto" w:fill="auto"/>
            <w:tcMar>
              <w:right w:w="0" w:type="dxa"/>
            </w:tcMar>
            <w:vAlign w:val="center"/>
          </w:tcPr>
          <w:p w:rsidR="00716B8B" w:rsidRDefault="00716B8B">
            <w:pPr>
              <w:spacing w:after="0"/>
              <w:jc w:val="right"/>
            </w:pPr>
          </w:p>
        </w:tc>
        <w:tc>
          <w:tcPr>
            <w:tcW w:w="2640" w:type="dxa"/>
            <w:gridSpan w:val="4"/>
            <w:shd w:val="clear" w:color="auto" w:fill="auto"/>
            <w:tcMar>
              <w:right w:w="0" w:type="dxa"/>
            </w:tcMar>
            <w:vAlign w:val="center"/>
          </w:tcPr>
          <w:p w:rsidR="00716B8B" w:rsidRDefault="00716B8B">
            <w:pPr>
              <w:spacing w:after="0"/>
              <w:jc w:val="right"/>
            </w:pPr>
          </w:p>
        </w:tc>
        <w:tc>
          <w:tcPr>
            <w:tcW w:w="5280" w:type="dxa"/>
            <w:gridSpan w:val="5"/>
            <w:shd w:val="clear" w:color="auto" w:fill="auto"/>
            <w:tcMar>
              <w:right w:w="0"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vAlign w:val="center"/>
          </w:tcPr>
          <w:p w:rsidR="00716B8B" w:rsidRDefault="00716B8B">
            <w:pPr>
              <w:spacing w:after="0"/>
              <w:jc w:val="center"/>
            </w:pPr>
          </w:p>
        </w:tc>
        <w:tc>
          <w:tcPr>
            <w:tcW w:w="3060" w:type="dxa"/>
            <w:gridSpan w:val="5"/>
            <w:shd w:val="clear" w:color="auto" w:fill="auto"/>
            <w:vAlign w:val="center"/>
          </w:tcPr>
          <w:p w:rsidR="00716B8B" w:rsidRDefault="00716B8B">
            <w:pPr>
              <w:spacing w:after="0"/>
              <w:jc w:val="center"/>
            </w:pPr>
          </w:p>
        </w:tc>
        <w:tc>
          <w:tcPr>
            <w:tcW w:w="1845" w:type="dxa"/>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4"/>
            <w:shd w:val="clear" w:color="auto" w:fill="auto"/>
            <w:vAlign w:val="center"/>
          </w:tcPr>
          <w:p w:rsidR="00716B8B" w:rsidRDefault="00716B8B">
            <w:pPr>
              <w:spacing w:after="0"/>
              <w:jc w:val="center"/>
            </w:pPr>
          </w:p>
        </w:tc>
        <w:tc>
          <w:tcPr>
            <w:tcW w:w="2640" w:type="dxa"/>
            <w:gridSpan w:val="3"/>
            <w:shd w:val="clear" w:color="auto" w:fill="auto"/>
            <w:vAlign w:val="center"/>
          </w:tcPr>
          <w:p w:rsidR="00716B8B" w:rsidRDefault="00716B8B">
            <w:pPr>
              <w:spacing w:after="0"/>
              <w:jc w:val="center"/>
            </w:pPr>
          </w:p>
        </w:tc>
        <w:tc>
          <w:tcPr>
            <w:tcW w:w="2640" w:type="dxa"/>
            <w:gridSpan w:val="2"/>
            <w:shd w:val="clear" w:color="auto" w:fill="auto"/>
            <w:vAlign w:val="center"/>
          </w:tcPr>
          <w:p w:rsidR="00716B8B" w:rsidRDefault="00716B8B">
            <w:pPr>
              <w:spacing w:after="0"/>
              <w:jc w:val="center"/>
            </w:pPr>
          </w:p>
        </w:tc>
      </w:tr>
      <w:tr w:rsidR="00716B8B">
        <w:trPr>
          <w:gridAfter w:val="1"/>
          <w:wAfter w:w="30" w:type="dxa"/>
          <w:cantSplit/>
        </w:trPr>
        <w:tc>
          <w:tcPr>
            <w:tcW w:w="135" w:type="dxa"/>
            <w:shd w:val="clear" w:color="auto" w:fill="auto"/>
            <w:textDirection w:val="btLr"/>
            <w:vAlign w:val="center"/>
          </w:tcPr>
          <w:p w:rsidR="00716B8B" w:rsidRDefault="00716B8B">
            <w:pPr>
              <w:spacing w:after="0"/>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Номер строки</w:t>
            </w:r>
          </w:p>
        </w:tc>
        <w:tc>
          <w:tcPr>
            <w:tcW w:w="171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Наименование показателя</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Уставный капитал</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Добавочный капитал</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Нераспределенная прибыль (непокрытый убыток)</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Итого</w:t>
            </w:r>
          </w:p>
        </w:tc>
      </w:tr>
      <w:tr w:rsidR="00716B8B">
        <w:trPr>
          <w:gridAfter w:val="1"/>
          <w:wAfter w:w="30" w:type="dxa"/>
          <w:cantSplit/>
        </w:trPr>
        <w:tc>
          <w:tcPr>
            <w:tcW w:w="135" w:type="dxa"/>
            <w:shd w:val="clear" w:color="auto" w:fill="auto"/>
            <w:vAlign w:val="center"/>
          </w:tcPr>
          <w:p w:rsidR="00716B8B" w:rsidRDefault="00716B8B">
            <w:pPr>
              <w:spacing w:after="0"/>
              <w:jc w:val="center"/>
            </w:pPr>
          </w:p>
        </w:tc>
        <w:tc>
          <w:tcPr>
            <w:tcW w:w="495" w:type="dxa"/>
            <w:tcBorders>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1</w:t>
            </w:r>
          </w:p>
        </w:tc>
        <w:tc>
          <w:tcPr>
            <w:tcW w:w="1710" w:type="dxa"/>
            <w:tcBorders>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2</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4</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5</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18</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19</w:t>
            </w:r>
          </w:p>
        </w:tc>
      </w:tr>
      <w:tr w:rsidR="00B07FBE">
        <w:trPr>
          <w:gridAfter w:val="1"/>
          <w:wAfter w:w="30" w:type="dxa"/>
          <w:cantSplit/>
        </w:trPr>
        <w:tc>
          <w:tcPr>
            <w:tcW w:w="135" w:type="dxa"/>
            <w:shd w:val="clear" w:color="auto" w:fill="auto"/>
            <w:vAlign w:val="center"/>
          </w:tcPr>
          <w:p w:rsidR="00B07FBE" w:rsidRDefault="00B07FBE">
            <w:pPr>
              <w:spacing w:after="0"/>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2"/>
                <w:szCs w:val="12"/>
              </w:rPr>
              <w:t>18</w:t>
            </w:r>
          </w:p>
        </w:tc>
        <w:tc>
          <w:tcPr>
            <w:tcW w:w="17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2"/>
                <w:szCs w:val="12"/>
              </w:rPr>
              <w:t>Остаток на 01.01.2025 г.</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20 000</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100 000</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(279)</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b/>
                <w:sz w:val="12"/>
                <w:szCs w:val="12"/>
              </w:rPr>
              <w:t>119 721</w:t>
            </w:r>
          </w:p>
        </w:tc>
      </w:tr>
      <w:tr w:rsidR="00B07FBE">
        <w:trPr>
          <w:gridAfter w:val="1"/>
          <w:wAfter w:w="30" w:type="dxa"/>
          <w:cantSplit/>
        </w:trPr>
        <w:tc>
          <w:tcPr>
            <w:tcW w:w="135" w:type="dxa"/>
            <w:shd w:val="clear" w:color="auto" w:fill="auto"/>
            <w:vAlign w:val="center"/>
          </w:tcPr>
          <w:p w:rsidR="00B07FBE" w:rsidRDefault="00B07FBE">
            <w:pPr>
              <w:spacing w:after="0"/>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2"/>
                <w:szCs w:val="12"/>
              </w:rPr>
              <w:t>21</w:t>
            </w:r>
          </w:p>
        </w:tc>
        <w:tc>
          <w:tcPr>
            <w:tcW w:w="17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2"/>
                <w:szCs w:val="12"/>
              </w:rPr>
              <w:t>Остаток на 01.01.2025 г., пересмотренный</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20 000</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100 000</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(279)</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b/>
                <w:sz w:val="12"/>
                <w:szCs w:val="12"/>
              </w:rPr>
              <w:t>119 721</w:t>
            </w:r>
          </w:p>
        </w:tc>
      </w:tr>
      <w:tr w:rsidR="00B07FBE">
        <w:trPr>
          <w:gridAfter w:val="1"/>
          <w:wAfter w:w="30" w:type="dxa"/>
          <w:cantSplit/>
        </w:trPr>
        <w:tc>
          <w:tcPr>
            <w:tcW w:w="135" w:type="dxa"/>
            <w:shd w:val="clear" w:color="auto" w:fill="auto"/>
            <w:vAlign w:val="center"/>
          </w:tcPr>
          <w:p w:rsidR="00B07FBE" w:rsidRDefault="00B07FBE">
            <w:pPr>
              <w:spacing w:after="0"/>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2"/>
                <w:szCs w:val="12"/>
              </w:rPr>
              <w:t>23</w:t>
            </w:r>
          </w:p>
        </w:tc>
        <w:tc>
          <w:tcPr>
            <w:tcW w:w="17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2"/>
                <w:szCs w:val="12"/>
              </w:rPr>
              <w:t>Остаток на 01.01.2025 г.</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20 000</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100 000</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(279)</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b/>
                <w:sz w:val="12"/>
                <w:szCs w:val="12"/>
              </w:rPr>
              <w:t>119 721</w:t>
            </w:r>
          </w:p>
        </w:tc>
      </w:tr>
      <w:tr w:rsidR="00B07FBE">
        <w:trPr>
          <w:gridAfter w:val="1"/>
          <w:wAfter w:w="30" w:type="dxa"/>
          <w:cantSplit/>
        </w:trPr>
        <w:tc>
          <w:tcPr>
            <w:tcW w:w="135" w:type="dxa"/>
            <w:shd w:val="clear" w:color="auto" w:fill="auto"/>
            <w:vAlign w:val="center"/>
          </w:tcPr>
          <w:p w:rsidR="00B07FBE" w:rsidRDefault="00B07FBE">
            <w:pPr>
              <w:spacing w:after="0"/>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2"/>
                <w:szCs w:val="12"/>
              </w:rPr>
              <w:t>24</w:t>
            </w:r>
          </w:p>
        </w:tc>
        <w:tc>
          <w:tcPr>
            <w:tcW w:w="17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2"/>
                <w:szCs w:val="12"/>
              </w:rPr>
              <w:t>Прибыль (убыток) после налогообложения</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2"/>
                <w:szCs w:val="12"/>
              </w:rPr>
              <w:t>767</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b/>
                <w:sz w:val="12"/>
                <w:szCs w:val="12"/>
              </w:rPr>
              <w:t>767</w:t>
            </w:r>
          </w:p>
        </w:tc>
      </w:tr>
      <w:tr w:rsidR="00716B8B">
        <w:trPr>
          <w:gridAfter w:val="1"/>
          <w:wAfter w:w="30" w:type="dxa"/>
          <w:cantSplit/>
        </w:trPr>
        <w:tc>
          <w:tcPr>
            <w:tcW w:w="135" w:type="dxa"/>
            <w:shd w:val="clear" w:color="auto" w:fill="auto"/>
            <w:vAlign w:val="center"/>
          </w:tcPr>
          <w:p w:rsidR="00716B8B" w:rsidRDefault="00716B8B">
            <w:pPr>
              <w:spacing w:after="0"/>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B07FBE">
            <w:pPr>
              <w:spacing w:after="0"/>
              <w:jc w:val="center"/>
            </w:pPr>
            <w:r>
              <w:rPr>
                <w:rFonts w:ascii="Arial" w:hAnsi="Arial"/>
                <w:sz w:val="12"/>
                <w:szCs w:val="12"/>
              </w:rPr>
              <w:t>34</w:t>
            </w:r>
          </w:p>
        </w:tc>
        <w:tc>
          <w:tcPr>
            <w:tcW w:w="17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2"/>
                <w:szCs w:val="12"/>
              </w:rPr>
              <w:t>Остаток на 31.03.2025 г., в том числе:</w:t>
            </w:r>
          </w:p>
        </w:tc>
        <w:tc>
          <w:tcPr>
            <w:tcW w:w="330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20 000</w:t>
            </w:r>
          </w:p>
        </w:tc>
        <w:tc>
          <w:tcPr>
            <w:tcW w:w="331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100 000</w:t>
            </w:r>
          </w:p>
        </w:tc>
        <w:tc>
          <w:tcPr>
            <w:tcW w:w="330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488</w:t>
            </w:r>
          </w:p>
        </w:tc>
        <w:tc>
          <w:tcPr>
            <w:tcW w:w="331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2"/>
                <w:szCs w:val="12"/>
              </w:rPr>
              <w:t>120 488</w:t>
            </w:r>
          </w:p>
        </w:tc>
      </w:tr>
      <w:tr w:rsidR="00716B8B">
        <w:trPr>
          <w:gridAfter w:val="4"/>
          <w:wAfter w:w="5040" w:type="dxa"/>
          <w:cantSplit/>
        </w:trPr>
        <w:tc>
          <w:tcPr>
            <w:tcW w:w="135" w:type="dxa"/>
            <w:shd w:val="clear" w:color="auto" w:fill="auto"/>
            <w:vAlign w:val="bottom"/>
          </w:tcPr>
          <w:p w:rsidR="00716B8B" w:rsidRDefault="00716B8B">
            <w:pPr>
              <w:spacing w:after="0"/>
            </w:pPr>
          </w:p>
        </w:tc>
        <w:tc>
          <w:tcPr>
            <w:tcW w:w="2235" w:type="dxa"/>
            <w:gridSpan w:val="3"/>
            <w:shd w:val="clear" w:color="auto" w:fill="auto"/>
            <w:vAlign w:val="center"/>
          </w:tcPr>
          <w:p w:rsidR="00716B8B" w:rsidRDefault="00716B8B">
            <w:pPr>
              <w:spacing w:after="0"/>
            </w:pPr>
          </w:p>
        </w:tc>
        <w:tc>
          <w:tcPr>
            <w:tcW w:w="210" w:type="dxa"/>
            <w:shd w:val="clear" w:color="auto" w:fill="auto"/>
            <w:vAlign w:val="center"/>
          </w:tcPr>
          <w:p w:rsidR="00716B8B" w:rsidRDefault="00716B8B">
            <w:pPr>
              <w:spacing w:after="0"/>
              <w:jc w:val="center"/>
            </w:pPr>
          </w:p>
        </w:tc>
        <w:tc>
          <w:tcPr>
            <w:tcW w:w="2520" w:type="dxa"/>
            <w:gridSpan w:val="3"/>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r>
      <w:tr w:rsidR="00716B8B">
        <w:trPr>
          <w:gridAfter w:val="4"/>
          <w:wAfter w:w="5040" w:type="dxa"/>
          <w:cantSplit/>
        </w:trPr>
        <w:tc>
          <w:tcPr>
            <w:tcW w:w="135" w:type="dxa"/>
            <w:shd w:val="clear" w:color="auto" w:fill="auto"/>
            <w:vAlign w:val="bottom"/>
          </w:tcPr>
          <w:p w:rsidR="00716B8B" w:rsidRDefault="00716B8B">
            <w:pPr>
              <w:spacing w:after="0"/>
            </w:pPr>
          </w:p>
        </w:tc>
        <w:tc>
          <w:tcPr>
            <w:tcW w:w="2235" w:type="dxa"/>
            <w:gridSpan w:val="3"/>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Генеральный директор</w:t>
            </w:r>
          </w:p>
        </w:tc>
        <w:tc>
          <w:tcPr>
            <w:tcW w:w="210" w:type="dxa"/>
            <w:shd w:val="clear" w:color="auto" w:fill="auto"/>
            <w:vAlign w:val="center"/>
          </w:tcPr>
          <w:p w:rsidR="00716B8B" w:rsidRDefault="00716B8B">
            <w:pPr>
              <w:spacing w:after="0"/>
              <w:jc w:val="center"/>
            </w:pPr>
          </w:p>
        </w:tc>
        <w:tc>
          <w:tcPr>
            <w:tcW w:w="2520" w:type="dxa"/>
            <w:gridSpan w:val="3"/>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3"/>
            <w:shd w:val="clear" w:color="auto" w:fill="auto"/>
            <w:vAlign w:val="bottom"/>
          </w:tcPr>
          <w:p w:rsidR="00716B8B" w:rsidRDefault="00716B8B">
            <w:pPr>
              <w:spacing w:after="0"/>
            </w:pPr>
          </w:p>
        </w:tc>
      </w:tr>
      <w:tr w:rsidR="00716B8B">
        <w:trPr>
          <w:gridAfter w:val="4"/>
          <w:wAfter w:w="5040" w:type="dxa"/>
          <w:cantSplit/>
        </w:trPr>
        <w:tc>
          <w:tcPr>
            <w:tcW w:w="135" w:type="dxa"/>
            <w:shd w:val="clear" w:color="auto" w:fill="auto"/>
            <w:vAlign w:val="bottom"/>
          </w:tcPr>
          <w:p w:rsidR="00716B8B" w:rsidRDefault="00716B8B">
            <w:pPr>
              <w:spacing w:after="0"/>
            </w:pPr>
          </w:p>
        </w:tc>
        <w:tc>
          <w:tcPr>
            <w:tcW w:w="2235" w:type="dxa"/>
            <w:gridSpan w:val="3"/>
            <w:tcBorders>
              <w:top w:val="single" w:sz="5" w:space="0" w:color="auto"/>
            </w:tcBorders>
            <w:shd w:val="clear" w:color="auto" w:fill="auto"/>
          </w:tcPr>
          <w:p w:rsidR="00716B8B" w:rsidRDefault="005D4FA8">
            <w:pPr>
              <w:spacing w:after="0"/>
              <w:jc w:val="center"/>
            </w:pPr>
            <w:r>
              <w:rPr>
                <w:rFonts w:ascii="Arial" w:hAnsi="Arial"/>
                <w:sz w:val="18"/>
                <w:szCs w:val="18"/>
              </w:rPr>
              <w:t>(должность)</w:t>
            </w:r>
          </w:p>
        </w:tc>
        <w:tc>
          <w:tcPr>
            <w:tcW w:w="210" w:type="dxa"/>
            <w:shd w:val="clear" w:color="auto" w:fill="auto"/>
            <w:vAlign w:val="bottom"/>
          </w:tcPr>
          <w:p w:rsidR="00716B8B" w:rsidRDefault="00716B8B">
            <w:pPr>
              <w:spacing w:after="0"/>
            </w:pPr>
          </w:p>
        </w:tc>
        <w:tc>
          <w:tcPr>
            <w:tcW w:w="2520" w:type="dxa"/>
            <w:gridSpan w:val="3"/>
            <w:tcBorders>
              <w:top w:val="single" w:sz="5" w:space="0" w:color="auto"/>
            </w:tcBorders>
            <w:shd w:val="clear" w:color="auto" w:fill="auto"/>
          </w:tcPr>
          <w:p w:rsidR="00716B8B" w:rsidRDefault="005D4FA8">
            <w:pPr>
              <w:spacing w:after="0"/>
              <w:jc w:val="center"/>
            </w:pPr>
            <w:r>
              <w:rPr>
                <w:rFonts w:ascii="Arial" w:hAnsi="Arial"/>
                <w:sz w:val="18"/>
                <w:szCs w:val="18"/>
              </w:rPr>
              <w:t>(подпись)</w:t>
            </w:r>
          </w:p>
        </w:tc>
        <w:tc>
          <w:tcPr>
            <w:tcW w:w="210" w:type="dxa"/>
            <w:shd w:val="clear" w:color="auto" w:fill="auto"/>
            <w:vAlign w:val="bottom"/>
          </w:tcPr>
          <w:p w:rsidR="00716B8B" w:rsidRDefault="00716B8B">
            <w:pPr>
              <w:spacing w:after="0"/>
            </w:pPr>
          </w:p>
        </w:tc>
        <w:tc>
          <w:tcPr>
            <w:tcW w:w="2520" w:type="dxa"/>
            <w:gridSpan w:val="3"/>
            <w:tcBorders>
              <w:top w:val="single" w:sz="5" w:space="0" w:color="auto"/>
            </w:tcBorders>
            <w:shd w:val="clear" w:color="auto" w:fill="auto"/>
            <w:vAlign w:val="bottom"/>
          </w:tcPr>
          <w:p w:rsidR="00716B8B" w:rsidRDefault="005D4FA8">
            <w:pPr>
              <w:spacing w:after="0"/>
              <w:jc w:val="center"/>
            </w:pPr>
            <w:r>
              <w:rPr>
                <w:rFonts w:ascii="Arial" w:hAnsi="Arial"/>
                <w:sz w:val="18"/>
                <w:szCs w:val="18"/>
              </w:rPr>
              <w:t>Фамилия, имя, отчество (последнее – при наличии)</w:t>
            </w: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r>
      <w:tr w:rsidR="00716B8B">
        <w:trPr>
          <w:gridAfter w:val="4"/>
          <w:wAfter w:w="5040" w:type="dxa"/>
          <w:cantSplit/>
        </w:trPr>
        <w:tc>
          <w:tcPr>
            <w:tcW w:w="135" w:type="dxa"/>
            <w:shd w:val="clear" w:color="auto" w:fill="auto"/>
            <w:vAlign w:val="bottom"/>
          </w:tcPr>
          <w:p w:rsidR="00716B8B" w:rsidRDefault="00716B8B">
            <w:pPr>
              <w:spacing w:after="0"/>
            </w:pPr>
          </w:p>
        </w:tc>
        <w:tc>
          <w:tcPr>
            <w:tcW w:w="2235" w:type="dxa"/>
            <w:gridSpan w:val="3"/>
            <w:shd w:val="clear" w:color="auto" w:fill="auto"/>
            <w:vAlign w:val="bottom"/>
          </w:tcPr>
          <w:p w:rsidR="00716B8B" w:rsidRDefault="00716B8B">
            <w:pPr>
              <w:spacing w:after="0"/>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r>
      <w:tr w:rsidR="00716B8B">
        <w:trPr>
          <w:gridAfter w:val="4"/>
          <w:wAfter w:w="5040" w:type="dxa"/>
          <w:cantSplit/>
        </w:trPr>
        <w:tc>
          <w:tcPr>
            <w:tcW w:w="135" w:type="dxa"/>
            <w:shd w:val="clear" w:color="auto" w:fill="auto"/>
            <w:vAlign w:val="bottom"/>
          </w:tcPr>
          <w:p w:rsidR="00716B8B" w:rsidRDefault="00716B8B">
            <w:pPr>
              <w:spacing w:after="0"/>
            </w:pPr>
          </w:p>
        </w:tc>
        <w:tc>
          <w:tcPr>
            <w:tcW w:w="2235" w:type="dxa"/>
            <w:gridSpan w:val="3"/>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29.04.2025</w:t>
            </w: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c>
          <w:tcPr>
            <w:tcW w:w="210" w:type="dxa"/>
            <w:shd w:val="clear" w:color="auto" w:fill="auto"/>
            <w:vAlign w:val="bottom"/>
          </w:tcPr>
          <w:p w:rsidR="00716B8B" w:rsidRDefault="00716B8B">
            <w:pPr>
              <w:spacing w:after="0"/>
            </w:pPr>
          </w:p>
        </w:tc>
        <w:tc>
          <w:tcPr>
            <w:tcW w:w="2520" w:type="dxa"/>
            <w:gridSpan w:val="3"/>
            <w:shd w:val="clear" w:color="auto" w:fill="auto"/>
            <w:vAlign w:val="bottom"/>
          </w:tcPr>
          <w:p w:rsidR="00716B8B" w:rsidRDefault="00716B8B">
            <w:pPr>
              <w:spacing w:after="0"/>
            </w:pPr>
          </w:p>
        </w:tc>
      </w:tr>
    </w:tbl>
    <w:p w:rsidR="00716B8B" w:rsidRDefault="00716B8B">
      <w:pPr>
        <w:sectPr w:rsidR="00716B8B">
          <w:pgSz w:w="16839" w:h="11907" w:orient="landscape"/>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660"/>
        <w:gridCol w:w="75"/>
        <w:gridCol w:w="285"/>
        <w:gridCol w:w="2355"/>
        <w:gridCol w:w="870"/>
        <w:gridCol w:w="1260"/>
        <w:gridCol w:w="210"/>
        <w:gridCol w:w="2250"/>
        <w:gridCol w:w="105"/>
        <w:gridCol w:w="2355"/>
      </w:tblGrid>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shd w:val="clear" w:color="auto" w:fill="auto"/>
            <w:tcMar>
              <w:right w:w="0" w:type="dxa"/>
            </w:tcMar>
            <w:vAlign w:val="center"/>
          </w:tcPr>
          <w:p w:rsidR="00716B8B" w:rsidRDefault="00716B8B">
            <w:pPr>
              <w:spacing w:after="0"/>
              <w:jc w:val="right"/>
            </w:pPr>
          </w:p>
        </w:tc>
        <w:tc>
          <w:tcPr>
            <w:tcW w:w="2340" w:type="dxa"/>
            <w:gridSpan w:val="3"/>
            <w:shd w:val="clear" w:color="auto" w:fill="auto"/>
            <w:tcMar>
              <w:right w:w="0" w:type="dxa"/>
            </w:tcMar>
            <w:vAlign w:val="center"/>
          </w:tcPr>
          <w:p w:rsidR="00716B8B" w:rsidRDefault="00716B8B">
            <w:pPr>
              <w:spacing w:after="0"/>
              <w:jc w:val="right"/>
            </w:pPr>
          </w:p>
        </w:tc>
        <w:tc>
          <w:tcPr>
            <w:tcW w:w="4710" w:type="dxa"/>
            <w:gridSpan w:val="3"/>
            <w:shd w:val="clear" w:color="auto" w:fill="auto"/>
            <w:tcMar>
              <w:right w:w="0" w:type="dxa"/>
            </w:tcMar>
            <w:vAlign w:val="center"/>
          </w:tcPr>
          <w:p w:rsidR="00716B8B" w:rsidRDefault="005D4FA8">
            <w:pPr>
              <w:spacing w:after="0"/>
              <w:jc w:val="right"/>
            </w:pPr>
            <w:r>
              <w:rPr>
                <w:rFonts w:ascii="Arial" w:hAnsi="Arial"/>
                <w:b/>
                <w:sz w:val="18"/>
                <w:szCs w:val="18"/>
              </w:rPr>
              <w:t xml:space="preserve">Приложение 4 к Положению Банка России от 2 октября 2024 года N 843-П "О формах раскрытия информации в бухгалтерской (финансовой) отчетности отдельных </w:t>
            </w:r>
            <w:proofErr w:type="spellStart"/>
            <w:r>
              <w:rPr>
                <w:rFonts w:ascii="Arial" w:hAnsi="Arial"/>
                <w:b/>
                <w:sz w:val="18"/>
                <w:szCs w:val="18"/>
              </w:rPr>
              <w:t>некредитных</w:t>
            </w:r>
            <w:proofErr w:type="spellEnd"/>
            <w:r>
              <w:rPr>
                <w:rFonts w:ascii="Arial" w:hAnsi="Arial"/>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shd w:val="clear" w:color="auto" w:fill="auto"/>
            <w:vAlign w:val="center"/>
          </w:tcPr>
          <w:p w:rsidR="00716B8B" w:rsidRDefault="00716B8B">
            <w:pPr>
              <w:spacing w:after="0"/>
              <w:jc w:val="center"/>
            </w:pPr>
          </w:p>
        </w:tc>
        <w:tc>
          <w:tcPr>
            <w:tcW w:w="2340" w:type="dxa"/>
            <w:gridSpan w:val="3"/>
            <w:shd w:val="clear" w:color="auto" w:fill="auto"/>
            <w:vAlign w:val="center"/>
          </w:tcPr>
          <w:p w:rsidR="00716B8B" w:rsidRDefault="00716B8B">
            <w:pPr>
              <w:spacing w:after="0"/>
              <w:jc w:val="center"/>
            </w:pPr>
          </w:p>
        </w:tc>
        <w:tc>
          <w:tcPr>
            <w:tcW w:w="2355"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w:t>
            </w:r>
            <w:r>
              <w:rPr>
                <w:rFonts w:ascii="Arial" w:hAnsi="Arial"/>
                <w:b/>
                <w:sz w:val="18"/>
                <w:szCs w:val="18"/>
              </w:rPr>
              <w:br/>
              <w:t>территории</w:t>
            </w:r>
            <w:r>
              <w:rPr>
                <w:rFonts w:ascii="Arial" w:hAnsi="Arial"/>
                <w:b/>
                <w:sz w:val="18"/>
                <w:szCs w:val="18"/>
              </w:rPr>
              <w:br/>
              <w:t>по ОКАТО</w:t>
            </w:r>
          </w:p>
        </w:tc>
        <w:tc>
          <w:tcPr>
            <w:tcW w:w="7050" w:type="dxa"/>
            <w:gridSpan w:val="6"/>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Код организации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 ОКПО</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ИНН</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tcMar>
              <w:left w:w="0" w:type="dxa"/>
            </w:tcMar>
            <w:vAlign w:val="center"/>
          </w:tcPr>
          <w:p w:rsidR="00716B8B" w:rsidRDefault="00716B8B">
            <w:pPr>
              <w:spacing w:after="0"/>
            </w:pP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45296561000</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63682124</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9725165895</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c>
          <w:tcPr>
            <w:tcW w:w="2340" w:type="dxa"/>
            <w:gridSpan w:val="3"/>
            <w:shd w:val="clear" w:color="auto" w:fill="auto"/>
            <w:vAlign w:val="center"/>
          </w:tcPr>
          <w:p w:rsidR="00716B8B" w:rsidRDefault="00716B8B">
            <w:pPr>
              <w:spacing w:after="0"/>
              <w:jc w:val="center"/>
            </w:pPr>
          </w:p>
        </w:tc>
        <w:tc>
          <w:tcPr>
            <w:tcW w:w="2355"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0"/>
            <w:shd w:val="clear" w:color="auto" w:fill="auto"/>
            <w:vAlign w:val="center"/>
          </w:tcPr>
          <w:p w:rsidR="00716B8B" w:rsidRDefault="005D4FA8">
            <w:pPr>
              <w:spacing w:after="0"/>
              <w:jc w:val="center"/>
            </w:pPr>
            <w:r>
              <w:rPr>
                <w:rFonts w:ascii="Arial" w:hAnsi="Arial"/>
                <w:b/>
                <w:sz w:val="24"/>
                <w:szCs w:val="24"/>
              </w:rPr>
              <w:t>ОТЧЕТ О ДВИЖЕНИИ ДЕНЕЖНЫХ СРЕДСТВ ОРГАНИЗАЦИИ</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0"/>
            <w:shd w:val="clear" w:color="auto" w:fill="auto"/>
            <w:vAlign w:val="center"/>
          </w:tcPr>
          <w:p w:rsidR="00716B8B" w:rsidRDefault="005D4FA8">
            <w:pPr>
              <w:spacing w:after="0"/>
              <w:jc w:val="center"/>
            </w:pPr>
            <w:r>
              <w:rPr>
                <w:rFonts w:ascii="Arial" w:hAnsi="Arial"/>
                <w:b/>
                <w:sz w:val="24"/>
                <w:szCs w:val="24"/>
              </w:rPr>
              <w:t>на 1 квартал 2025 г.</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c>
          <w:tcPr>
            <w:tcW w:w="2340" w:type="dxa"/>
            <w:gridSpan w:val="3"/>
            <w:shd w:val="clear" w:color="auto" w:fill="auto"/>
            <w:vAlign w:val="center"/>
          </w:tcPr>
          <w:p w:rsidR="00716B8B" w:rsidRDefault="00716B8B">
            <w:pPr>
              <w:spacing w:after="0"/>
              <w:jc w:val="center"/>
            </w:pPr>
          </w:p>
        </w:tc>
        <w:tc>
          <w:tcPr>
            <w:tcW w:w="2355"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0425" w:type="dxa"/>
            <w:gridSpan w:val="10"/>
            <w:tcBorders>
              <w:bottom w:val="none" w:sz="5" w:space="0" w:color="auto"/>
            </w:tcBorders>
            <w:shd w:val="clear" w:color="auto" w:fill="auto"/>
            <w:vAlign w:val="center"/>
          </w:tcPr>
          <w:p w:rsidR="00716B8B" w:rsidRDefault="005D4FA8">
            <w:pPr>
              <w:wordWrap w:val="0"/>
              <w:spacing w:after="0"/>
              <w:jc w:val="center"/>
            </w:pPr>
            <w:r>
              <w:rPr>
                <w:rFonts w:ascii="Arial" w:hAnsi="Arial"/>
                <w:b/>
                <w:sz w:val="18"/>
                <w:szCs w:val="18"/>
              </w:rPr>
              <w:t>Общество с ограниченной ответственностью "НЭКСТ"</w:t>
            </w:r>
          </w:p>
        </w:tc>
      </w:tr>
      <w:tr w:rsidR="00716B8B">
        <w:trPr>
          <w:cantSplit/>
        </w:trPr>
        <w:tc>
          <w:tcPr>
            <w:tcW w:w="135" w:type="dxa"/>
            <w:tcBorders>
              <w:bottom w:val="none" w:sz="5" w:space="0" w:color="auto"/>
            </w:tcBorders>
            <w:shd w:val="clear" w:color="auto" w:fill="auto"/>
            <w:vAlign w:val="center"/>
          </w:tcPr>
          <w:p w:rsidR="00716B8B" w:rsidRDefault="00716B8B">
            <w:pPr>
              <w:wordWrap w:val="0"/>
              <w:spacing w:after="0"/>
              <w:jc w:val="center"/>
            </w:pPr>
          </w:p>
        </w:tc>
        <w:tc>
          <w:tcPr>
            <w:tcW w:w="10425" w:type="dxa"/>
            <w:gridSpan w:val="10"/>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ООО "НЭКСТ"</w:t>
            </w:r>
          </w:p>
        </w:tc>
      </w:tr>
      <w:tr w:rsidR="00716B8B">
        <w:trPr>
          <w:cantSplit/>
        </w:trPr>
        <w:tc>
          <w:tcPr>
            <w:tcW w:w="135" w:type="dxa"/>
            <w:shd w:val="clear" w:color="auto" w:fill="auto"/>
            <w:vAlign w:val="center"/>
          </w:tcPr>
          <w:p w:rsidR="00716B8B" w:rsidRDefault="00716B8B">
            <w:pPr>
              <w:wordWrap w:val="0"/>
              <w:spacing w:after="0"/>
              <w:jc w:val="center"/>
            </w:pPr>
          </w:p>
        </w:tc>
        <w:tc>
          <w:tcPr>
            <w:tcW w:w="10425" w:type="dxa"/>
            <w:gridSpan w:val="10"/>
            <w:shd w:val="clear" w:color="auto" w:fill="auto"/>
            <w:vAlign w:val="center"/>
          </w:tcPr>
          <w:p w:rsidR="00716B8B" w:rsidRDefault="005D4FA8">
            <w:pPr>
              <w:spacing w:after="0"/>
              <w:jc w:val="center"/>
            </w:pPr>
            <w:r>
              <w:rPr>
                <w:rFonts w:ascii="Arial" w:hAnsi="Arial"/>
                <w:b/>
                <w:sz w:val="18"/>
                <w:szCs w:val="18"/>
              </w:rPr>
              <w:t>(полное и (или) сокращенное фирменные наименования)</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c>
          <w:tcPr>
            <w:tcW w:w="2340" w:type="dxa"/>
            <w:gridSpan w:val="3"/>
            <w:shd w:val="clear" w:color="auto" w:fill="auto"/>
            <w:vAlign w:val="center"/>
          </w:tcPr>
          <w:p w:rsidR="00716B8B" w:rsidRDefault="00716B8B">
            <w:pPr>
              <w:spacing w:after="0"/>
              <w:jc w:val="center"/>
            </w:pPr>
          </w:p>
        </w:tc>
        <w:tc>
          <w:tcPr>
            <w:tcW w:w="2355"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0"/>
            <w:tcBorders>
              <w:bottom w:val="single" w:sz="5" w:space="0" w:color="auto"/>
            </w:tcBorders>
            <w:shd w:val="clear" w:color="auto" w:fill="auto"/>
            <w:vAlign w:val="center"/>
          </w:tcPr>
          <w:p w:rsidR="00716B8B" w:rsidRDefault="005D4FA8">
            <w:pPr>
              <w:wordWrap w:val="0"/>
              <w:spacing w:after="0"/>
              <w:jc w:val="center"/>
            </w:pPr>
            <w:r>
              <w:rPr>
                <w:rFonts w:ascii="Arial" w:hAnsi="Arial"/>
                <w:b/>
                <w:sz w:val="18"/>
                <w:szCs w:val="18"/>
              </w:rPr>
              <w:t xml:space="preserve">115162, </w:t>
            </w:r>
            <w:proofErr w:type="spellStart"/>
            <w:r>
              <w:rPr>
                <w:rFonts w:ascii="Arial" w:hAnsi="Arial"/>
                <w:b/>
                <w:sz w:val="18"/>
                <w:szCs w:val="18"/>
              </w:rPr>
              <w:t>г.Москва</w:t>
            </w:r>
            <w:proofErr w:type="spellEnd"/>
            <w:r>
              <w:rPr>
                <w:rFonts w:ascii="Arial" w:hAnsi="Arial"/>
                <w:b/>
                <w:sz w:val="18"/>
                <w:szCs w:val="18"/>
              </w:rPr>
              <w:t xml:space="preserve">. </w:t>
            </w:r>
            <w:proofErr w:type="spellStart"/>
            <w:proofErr w:type="gramStart"/>
            <w:r>
              <w:rPr>
                <w:rFonts w:ascii="Arial" w:hAnsi="Arial"/>
                <w:b/>
                <w:sz w:val="18"/>
                <w:szCs w:val="18"/>
              </w:rPr>
              <w:t>вн.тер</w:t>
            </w:r>
            <w:proofErr w:type="gramEnd"/>
            <w:r>
              <w:rPr>
                <w:rFonts w:ascii="Arial" w:hAnsi="Arial"/>
                <w:b/>
                <w:sz w:val="18"/>
                <w:szCs w:val="18"/>
              </w:rPr>
              <w:t>.г.Муниципальный</w:t>
            </w:r>
            <w:proofErr w:type="spellEnd"/>
            <w:r>
              <w:rPr>
                <w:rFonts w:ascii="Arial" w:hAnsi="Arial"/>
                <w:b/>
                <w:sz w:val="18"/>
                <w:szCs w:val="18"/>
              </w:rPr>
              <w:t xml:space="preserve"> Округ Донской. </w:t>
            </w:r>
            <w:proofErr w:type="spellStart"/>
            <w:r>
              <w:rPr>
                <w:rFonts w:ascii="Arial" w:hAnsi="Arial"/>
                <w:b/>
                <w:sz w:val="18"/>
                <w:szCs w:val="18"/>
              </w:rPr>
              <w:t>Ул</w:t>
            </w:r>
            <w:proofErr w:type="spellEnd"/>
            <w:r>
              <w:rPr>
                <w:rFonts w:ascii="Arial" w:hAnsi="Arial"/>
                <w:b/>
                <w:sz w:val="18"/>
                <w:szCs w:val="18"/>
              </w:rPr>
              <w:t xml:space="preserve"> Шухова. Дом 14. строение 11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10"/>
            <w:shd w:val="clear" w:color="auto" w:fill="auto"/>
            <w:vAlign w:val="center"/>
          </w:tcPr>
          <w:p w:rsidR="00716B8B" w:rsidRDefault="005D4FA8">
            <w:pPr>
              <w:spacing w:after="0"/>
              <w:jc w:val="center"/>
            </w:pPr>
            <w:r>
              <w:rPr>
                <w:rFonts w:ascii="Arial" w:hAnsi="Arial"/>
                <w:b/>
                <w:sz w:val="18"/>
                <w:szCs w:val="18"/>
              </w:rPr>
              <w:t>(адрес организации в пределах места нахождения организации)</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shd w:val="clear" w:color="auto" w:fill="auto"/>
            <w:tcMar>
              <w:left w:w="0" w:type="dxa"/>
            </w:tcMar>
            <w:vAlign w:val="center"/>
          </w:tcPr>
          <w:p w:rsidR="00716B8B" w:rsidRDefault="00716B8B">
            <w:pPr>
              <w:spacing w:after="0"/>
            </w:pPr>
          </w:p>
        </w:tc>
        <w:tc>
          <w:tcPr>
            <w:tcW w:w="2340" w:type="dxa"/>
            <w:gridSpan w:val="3"/>
            <w:shd w:val="clear" w:color="auto" w:fill="auto"/>
            <w:tcMar>
              <w:right w:w="0" w:type="dxa"/>
            </w:tcMar>
            <w:vAlign w:val="center"/>
          </w:tcPr>
          <w:p w:rsidR="00716B8B" w:rsidRDefault="00716B8B">
            <w:pPr>
              <w:spacing w:after="0"/>
              <w:jc w:val="right"/>
            </w:pPr>
          </w:p>
        </w:tc>
        <w:tc>
          <w:tcPr>
            <w:tcW w:w="2355" w:type="dxa"/>
            <w:gridSpan w:val="2"/>
            <w:shd w:val="clear" w:color="auto" w:fill="auto"/>
            <w:tcMar>
              <w:right w:w="0" w:type="dxa"/>
            </w:tcMar>
            <w:vAlign w:val="center"/>
          </w:tcPr>
          <w:p w:rsidR="00716B8B" w:rsidRDefault="00716B8B">
            <w:pPr>
              <w:spacing w:after="0"/>
              <w:jc w:val="right"/>
            </w:pPr>
          </w:p>
        </w:tc>
        <w:tc>
          <w:tcPr>
            <w:tcW w:w="235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left w:w="0" w:type="dxa"/>
            </w:tcMar>
            <w:vAlign w:val="center"/>
          </w:tcPr>
          <w:p w:rsidR="00716B8B" w:rsidRDefault="00716B8B">
            <w:pPr>
              <w:spacing w:after="0"/>
            </w:pPr>
          </w:p>
        </w:tc>
        <w:tc>
          <w:tcPr>
            <w:tcW w:w="2355" w:type="dxa"/>
            <w:shd w:val="clear" w:color="auto" w:fill="auto"/>
            <w:tcMar>
              <w:left w:w="0" w:type="dxa"/>
            </w:tcMar>
            <w:vAlign w:val="center"/>
          </w:tcPr>
          <w:p w:rsidR="00716B8B" w:rsidRDefault="00716B8B">
            <w:pPr>
              <w:spacing w:after="0"/>
            </w:pPr>
          </w:p>
        </w:tc>
        <w:tc>
          <w:tcPr>
            <w:tcW w:w="2340" w:type="dxa"/>
            <w:gridSpan w:val="3"/>
            <w:shd w:val="clear" w:color="auto" w:fill="auto"/>
            <w:tcMar>
              <w:right w:w="0" w:type="dxa"/>
            </w:tcMar>
            <w:vAlign w:val="center"/>
          </w:tcPr>
          <w:p w:rsidR="00716B8B" w:rsidRDefault="00716B8B">
            <w:pPr>
              <w:spacing w:after="0"/>
              <w:jc w:val="right"/>
            </w:pPr>
          </w:p>
        </w:tc>
        <w:tc>
          <w:tcPr>
            <w:tcW w:w="4710" w:type="dxa"/>
            <w:gridSpan w:val="3"/>
            <w:shd w:val="clear" w:color="auto" w:fill="auto"/>
            <w:tcMar>
              <w:right w:w="0" w:type="dxa"/>
            </w:tcMar>
            <w:vAlign w:val="center"/>
          </w:tcPr>
          <w:p w:rsidR="00716B8B" w:rsidRDefault="005D4FA8">
            <w:pPr>
              <w:spacing w:after="0"/>
              <w:jc w:val="right"/>
            </w:pPr>
            <w:r>
              <w:rPr>
                <w:rFonts w:ascii="Arial" w:hAnsi="Arial"/>
                <w:b/>
                <w:sz w:val="18"/>
                <w:szCs w:val="18"/>
              </w:rPr>
              <w:t>Код формы по ОКУД 0420005</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shd w:val="clear" w:color="auto" w:fill="auto"/>
            <w:tcMar>
              <w:right w:w="0" w:type="dxa"/>
            </w:tcMar>
            <w:vAlign w:val="center"/>
          </w:tcPr>
          <w:p w:rsidR="00716B8B" w:rsidRDefault="00716B8B">
            <w:pPr>
              <w:spacing w:after="0"/>
              <w:jc w:val="right"/>
            </w:pPr>
          </w:p>
        </w:tc>
        <w:tc>
          <w:tcPr>
            <w:tcW w:w="2340" w:type="dxa"/>
            <w:gridSpan w:val="3"/>
            <w:shd w:val="clear" w:color="auto" w:fill="auto"/>
            <w:tcMar>
              <w:right w:w="0" w:type="dxa"/>
            </w:tcMar>
            <w:vAlign w:val="center"/>
          </w:tcPr>
          <w:p w:rsidR="00716B8B" w:rsidRDefault="00716B8B">
            <w:pPr>
              <w:spacing w:after="0"/>
              <w:jc w:val="right"/>
            </w:pPr>
          </w:p>
        </w:tc>
        <w:tc>
          <w:tcPr>
            <w:tcW w:w="4710" w:type="dxa"/>
            <w:gridSpan w:val="3"/>
            <w:shd w:val="clear" w:color="auto" w:fill="auto"/>
            <w:tcMar>
              <w:right w:w="0" w:type="dxa"/>
            </w:tcMar>
            <w:vAlign w:val="center"/>
          </w:tcPr>
          <w:p w:rsidR="00716B8B" w:rsidRDefault="005D4FA8">
            <w:pPr>
              <w:spacing w:after="0"/>
              <w:jc w:val="right"/>
            </w:pPr>
            <w:r>
              <w:rPr>
                <w:rFonts w:ascii="Arial" w:hAnsi="Arial"/>
                <w:b/>
                <w:sz w:val="18"/>
                <w:szCs w:val="18"/>
              </w:rPr>
              <w:t>Годовая (квартальная, полугодовая, за 9 месяцев)</w:t>
            </w:r>
          </w:p>
        </w:tc>
      </w:tr>
      <w:tr w:rsidR="00716B8B">
        <w:trPr>
          <w:cantSplit/>
        </w:trPr>
        <w:tc>
          <w:tcPr>
            <w:tcW w:w="135" w:type="dxa"/>
            <w:shd w:val="clear" w:color="auto" w:fill="auto"/>
            <w:tcMar>
              <w:right w:w="0" w:type="dxa"/>
            </w:tcMar>
            <w:vAlign w:val="center"/>
          </w:tcPr>
          <w:p w:rsidR="00716B8B" w:rsidRDefault="00716B8B">
            <w:pPr>
              <w:spacing w:after="0"/>
              <w:jc w:val="right"/>
            </w:pPr>
          </w:p>
        </w:tc>
        <w:tc>
          <w:tcPr>
            <w:tcW w:w="660" w:type="dxa"/>
            <w:shd w:val="clear" w:color="auto" w:fill="auto"/>
            <w:tcMar>
              <w:right w:w="0" w:type="dxa"/>
            </w:tcMar>
            <w:vAlign w:val="center"/>
          </w:tcPr>
          <w:p w:rsidR="00716B8B" w:rsidRDefault="00716B8B">
            <w:pPr>
              <w:spacing w:after="0"/>
              <w:jc w:val="right"/>
            </w:pPr>
          </w:p>
        </w:tc>
        <w:tc>
          <w:tcPr>
            <w:tcW w:w="360" w:type="dxa"/>
            <w:gridSpan w:val="2"/>
            <w:shd w:val="clear" w:color="auto" w:fill="auto"/>
            <w:tcMar>
              <w:right w:w="0" w:type="dxa"/>
            </w:tcMar>
            <w:vAlign w:val="center"/>
          </w:tcPr>
          <w:p w:rsidR="00716B8B" w:rsidRDefault="00716B8B">
            <w:pPr>
              <w:spacing w:after="0"/>
              <w:jc w:val="right"/>
            </w:pPr>
          </w:p>
        </w:tc>
        <w:tc>
          <w:tcPr>
            <w:tcW w:w="2355" w:type="dxa"/>
            <w:shd w:val="clear" w:color="auto" w:fill="auto"/>
            <w:tcMar>
              <w:right w:w="0" w:type="dxa"/>
            </w:tcMar>
            <w:vAlign w:val="center"/>
          </w:tcPr>
          <w:p w:rsidR="00716B8B" w:rsidRDefault="00716B8B">
            <w:pPr>
              <w:spacing w:after="0"/>
              <w:jc w:val="right"/>
            </w:pPr>
          </w:p>
        </w:tc>
        <w:tc>
          <w:tcPr>
            <w:tcW w:w="2340" w:type="dxa"/>
            <w:gridSpan w:val="3"/>
            <w:shd w:val="clear" w:color="auto" w:fill="auto"/>
            <w:tcMar>
              <w:right w:w="0" w:type="dxa"/>
            </w:tcMar>
            <w:vAlign w:val="center"/>
          </w:tcPr>
          <w:p w:rsidR="00716B8B" w:rsidRDefault="00716B8B">
            <w:pPr>
              <w:spacing w:after="0"/>
              <w:jc w:val="right"/>
            </w:pPr>
          </w:p>
        </w:tc>
        <w:tc>
          <w:tcPr>
            <w:tcW w:w="4710" w:type="dxa"/>
            <w:gridSpan w:val="3"/>
            <w:shd w:val="clear" w:color="auto" w:fill="auto"/>
            <w:tcMar>
              <w:right w:w="0"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vAlign w:val="center"/>
          </w:tcPr>
          <w:p w:rsidR="00716B8B" w:rsidRDefault="00716B8B">
            <w:pPr>
              <w:spacing w:after="0"/>
              <w:jc w:val="center"/>
            </w:pPr>
          </w:p>
        </w:tc>
        <w:tc>
          <w:tcPr>
            <w:tcW w:w="660" w:type="dxa"/>
            <w:shd w:val="clear" w:color="auto" w:fill="auto"/>
            <w:vAlign w:val="center"/>
          </w:tcPr>
          <w:p w:rsidR="00716B8B" w:rsidRDefault="00716B8B">
            <w:pPr>
              <w:spacing w:after="0"/>
              <w:jc w:val="center"/>
            </w:pPr>
          </w:p>
        </w:tc>
        <w:tc>
          <w:tcPr>
            <w:tcW w:w="360"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c>
          <w:tcPr>
            <w:tcW w:w="2340" w:type="dxa"/>
            <w:gridSpan w:val="3"/>
            <w:shd w:val="clear" w:color="auto" w:fill="auto"/>
            <w:vAlign w:val="center"/>
          </w:tcPr>
          <w:p w:rsidR="00716B8B" w:rsidRDefault="00716B8B">
            <w:pPr>
              <w:spacing w:after="0"/>
              <w:jc w:val="center"/>
            </w:pPr>
          </w:p>
        </w:tc>
        <w:tc>
          <w:tcPr>
            <w:tcW w:w="2355" w:type="dxa"/>
            <w:gridSpan w:val="2"/>
            <w:shd w:val="clear" w:color="auto" w:fill="auto"/>
            <w:vAlign w:val="center"/>
          </w:tcPr>
          <w:p w:rsidR="00716B8B" w:rsidRDefault="00716B8B">
            <w:pPr>
              <w:spacing w:after="0"/>
              <w:jc w:val="center"/>
            </w:pPr>
          </w:p>
        </w:tc>
        <w:tc>
          <w:tcPr>
            <w:tcW w:w="2355" w:type="dxa"/>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Примечания</w:t>
            </w:r>
            <w:r>
              <w:rPr>
                <w:rFonts w:ascii="Arial" w:hAnsi="Arial"/>
                <w:b/>
                <w:sz w:val="18"/>
                <w:szCs w:val="18"/>
              </w:rPr>
              <w:br/>
              <w:t>к строкам</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2024 г.</w:t>
            </w:r>
          </w:p>
        </w:tc>
      </w:tr>
      <w:tr w:rsidR="00716B8B">
        <w:trPr>
          <w:cantSplit/>
        </w:trPr>
        <w:tc>
          <w:tcPr>
            <w:tcW w:w="135" w:type="dxa"/>
            <w:shd w:val="clear" w:color="auto" w:fill="auto"/>
            <w:vAlign w:val="center"/>
          </w:tcPr>
          <w:p w:rsidR="00716B8B" w:rsidRDefault="00716B8B">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 Денежные потоки от операционной деятельности</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3</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Денежные поступления от предоставления услуг и полученные комиссии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wordWrap w:val="0"/>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1 970</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4</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Денежные выплаты поставщикам за товары и услуги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wordWrap w:val="0"/>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(3 144)</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5</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Проценты полученные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5 039</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6</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Проценты уплаченные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(353)</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10</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Выплаты работникам и от имени работников, страховые взносы с сумм выплат вознаграждений работникам</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(1 157)</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11</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Оплата прочих административных и операционных расходов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(12)</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12</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Уплаченный налог на прибыль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(99)</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14</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Сальдо денежных потоков от операционной деятельности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2 245</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II. Денежные потоки от инвестиционной деятельности</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19</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Платежи в связи с приобретением, созданием нематериальных активов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(2 763)</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27</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Поступления от продажи и погашения финансовых активов, оцениваемых по амортизированной стоимости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3 656 130</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r w:rsidR="00B07FBE">
        <w:trPr>
          <w:cantSplit/>
        </w:trPr>
        <w:tc>
          <w:tcPr>
            <w:tcW w:w="135" w:type="dxa"/>
            <w:shd w:val="clear" w:color="auto" w:fill="auto"/>
            <w:vAlign w:val="center"/>
          </w:tcPr>
          <w:p w:rsidR="00B07FBE" w:rsidRDefault="00B07FBE">
            <w:pPr>
              <w:spacing w:after="0"/>
              <w:jc w:val="center"/>
            </w:pPr>
          </w:p>
        </w:tc>
        <w:tc>
          <w:tcPr>
            <w:tcW w:w="73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28</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B07FBE" w:rsidRDefault="00B07FBE">
            <w:pPr>
              <w:spacing w:after="0"/>
              <w:ind w:left="105"/>
            </w:pPr>
            <w:r>
              <w:rPr>
                <w:rFonts w:ascii="Arial" w:hAnsi="Arial"/>
                <w:sz w:val="18"/>
                <w:szCs w:val="18"/>
              </w:rPr>
              <w:t>Платежи в связи с приобретением финансовых активов, оцениваемых по амортизированной стоимости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(3 551 900)</w:t>
            </w:r>
          </w:p>
        </w:tc>
        <w:tc>
          <w:tcPr>
            <w:tcW w:w="24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pPr>
            <w:r>
              <w:rPr>
                <w:rFonts w:ascii="Arial" w:hAnsi="Arial"/>
                <w:sz w:val="18"/>
                <w:szCs w:val="18"/>
              </w:rPr>
              <w:t>-</w:t>
            </w:r>
          </w:p>
        </w:tc>
      </w:tr>
    </w:tbl>
    <w:p w:rsidR="00716B8B" w:rsidRDefault="00716B8B"/>
    <w:tbl>
      <w:tblPr>
        <w:tblW w:w="10560" w:type="dxa"/>
        <w:tblLayout w:type="fixed"/>
        <w:tblCellMar>
          <w:left w:w="0" w:type="dxa"/>
          <w:right w:w="0" w:type="dxa"/>
        </w:tblCellMar>
        <w:tblLook w:val="04A0" w:firstRow="1" w:lastRow="0" w:firstColumn="1" w:lastColumn="0" w:noHBand="0" w:noVBand="1"/>
      </w:tblPr>
      <w:tblGrid>
        <w:gridCol w:w="135"/>
        <w:gridCol w:w="735"/>
        <w:gridCol w:w="1500"/>
        <w:gridCol w:w="210"/>
        <w:gridCol w:w="1800"/>
        <w:gridCol w:w="720"/>
        <w:gridCol w:w="210"/>
        <w:gridCol w:w="330"/>
        <w:gridCol w:w="2190"/>
        <w:gridCol w:w="210"/>
        <w:gridCol w:w="60"/>
        <w:gridCol w:w="2460"/>
      </w:tblGrid>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Примечания</w:t>
            </w:r>
            <w:r>
              <w:rPr>
                <w:rFonts w:ascii="Arial" w:hAnsi="Arial"/>
                <w:b/>
                <w:sz w:val="18"/>
                <w:szCs w:val="18"/>
              </w:rPr>
              <w:br/>
              <w:t>к строкам</w:t>
            </w: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2024 г.</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r>
      <w:tr w:rsidR="00B07FBE">
        <w:trPr>
          <w:cantSplit/>
        </w:trPr>
        <w:tc>
          <w:tcPr>
            <w:tcW w:w="135" w:type="dxa"/>
            <w:shd w:val="clear" w:color="auto" w:fill="auto"/>
            <w:vAlign w:val="center"/>
          </w:tcPr>
          <w:p w:rsidR="00B07FBE" w:rsidRDefault="00B07FBE">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4C033A" w:rsidP="00277C02">
            <w:pPr>
              <w:spacing w:after="0"/>
              <w:jc w:val="center"/>
            </w:pPr>
            <w:r>
              <w:rPr>
                <w:rFonts w:ascii="Arial" w:hAnsi="Arial"/>
                <w:sz w:val="18"/>
                <w:szCs w:val="18"/>
              </w:rPr>
              <w:t>32</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ind w:left="105"/>
            </w:pPr>
            <w:r>
              <w:rPr>
                <w:rFonts w:ascii="Arial" w:hAnsi="Arial"/>
                <w:sz w:val="18"/>
                <w:szCs w:val="18"/>
              </w:rPr>
              <w:t>Сальдо денежных потоков от инвестиционной деятельности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101 467</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rsidP="00277C02">
            <w:pPr>
              <w:spacing w:after="0"/>
              <w:jc w:val="center"/>
            </w:pPr>
            <w:r>
              <w:rPr>
                <w:rFonts w:ascii="Arial" w:hAnsi="Arial"/>
                <w:sz w:val="18"/>
                <w:szCs w:val="18"/>
              </w:rPr>
              <w:t>-</w:t>
            </w:r>
          </w:p>
        </w:tc>
      </w:tr>
      <w:tr w:rsidR="00B07FBE" w:rsidTr="005838B6">
        <w:trPr>
          <w:cantSplit/>
        </w:trPr>
        <w:tc>
          <w:tcPr>
            <w:tcW w:w="135" w:type="dxa"/>
            <w:shd w:val="clear" w:color="auto" w:fill="auto"/>
            <w:vAlign w:val="center"/>
          </w:tcPr>
          <w:p w:rsidR="00B07FBE" w:rsidRDefault="00B07FBE">
            <w:pPr>
              <w:spacing w:after="0"/>
              <w:jc w:val="center"/>
            </w:pPr>
          </w:p>
        </w:tc>
        <w:tc>
          <w:tcPr>
            <w:tcW w:w="10425" w:type="dxa"/>
            <w:gridSpan w:val="11"/>
            <w:tcBorders>
              <w:top w:val="single" w:sz="5" w:space="0" w:color="auto"/>
              <w:left w:val="single" w:sz="5" w:space="0" w:color="auto"/>
              <w:bottom w:val="single" w:sz="5" w:space="0" w:color="auto"/>
              <w:right w:val="single" w:sz="5" w:space="0" w:color="auto"/>
            </w:tcBorders>
            <w:shd w:val="clear" w:color="auto" w:fill="auto"/>
            <w:vAlign w:val="center"/>
          </w:tcPr>
          <w:p w:rsidR="00B07FBE" w:rsidRDefault="00B07FBE">
            <w:pPr>
              <w:spacing w:after="0"/>
              <w:jc w:val="center"/>
              <w:rPr>
                <w:rFonts w:ascii="Arial" w:hAnsi="Arial"/>
                <w:b/>
                <w:sz w:val="18"/>
                <w:szCs w:val="18"/>
              </w:rPr>
            </w:pPr>
            <w:r>
              <w:rPr>
                <w:rFonts w:ascii="Arial" w:hAnsi="Arial"/>
                <w:b/>
                <w:sz w:val="18"/>
                <w:szCs w:val="18"/>
              </w:rPr>
              <w:t>Раздел III. Денежные потоки от финансовой деятельности</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36</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ind w:left="105"/>
            </w:pPr>
            <w:r>
              <w:rPr>
                <w:rFonts w:ascii="Arial" w:hAnsi="Arial"/>
                <w:sz w:val="18"/>
                <w:szCs w:val="18"/>
              </w:rPr>
              <w:t>Погашение кредитов, займов и прочих привлеченных средств, оцениваемых по амортизированной стоимости, в том числе:</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wordWrap w:val="0"/>
              <w:spacing w:after="0"/>
              <w:jc w:val="center"/>
            </w:pP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(700)</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37</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ind w:left="210"/>
            </w:pPr>
            <w:r>
              <w:rPr>
                <w:rFonts w:ascii="Arial" w:hAnsi="Arial"/>
                <w:sz w:val="18"/>
                <w:szCs w:val="18"/>
              </w:rPr>
              <w:t>платежи в погашение обязательств по договорам аренды</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wordWrap w:val="0"/>
              <w:spacing w:after="0"/>
              <w:jc w:val="center"/>
            </w:pP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(700)</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46</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ind w:left="105"/>
            </w:pPr>
            <w:r>
              <w:rPr>
                <w:rFonts w:ascii="Arial" w:hAnsi="Arial"/>
                <w:sz w:val="18"/>
                <w:szCs w:val="18"/>
              </w:rPr>
              <w:t>Сальдо денежных потоков от финансовой деятельности</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wordWrap w:val="0"/>
              <w:spacing w:after="0"/>
              <w:jc w:val="center"/>
            </w:pP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(700)</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47</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C033A" w:rsidRDefault="004C033A">
            <w:pPr>
              <w:spacing w:after="0"/>
              <w:ind w:left="105"/>
            </w:pPr>
            <w:r>
              <w:rPr>
                <w:rFonts w:ascii="Arial" w:hAnsi="Arial"/>
                <w:sz w:val="18"/>
                <w:szCs w:val="18"/>
              </w:rPr>
              <w:t>Сальдо денежных потоков за отчетный период</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wordWrap w:val="0"/>
              <w:spacing w:after="0"/>
              <w:jc w:val="center"/>
            </w:pP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103 012</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49</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C033A" w:rsidRDefault="004C033A">
            <w:pPr>
              <w:spacing w:after="0"/>
              <w:ind w:left="105"/>
            </w:pPr>
            <w:r>
              <w:rPr>
                <w:rFonts w:ascii="Arial" w:hAnsi="Arial"/>
                <w:sz w:val="18"/>
                <w:szCs w:val="18"/>
              </w:rPr>
              <w:t>Остаток денежных средств и их эквивалентов на начало периода</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wordWrap w:val="0"/>
              <w:spacing w:after="0"/>
              <w:jc w:val="center"/>
            </w:pPr>
            <w:r>
              <w:rPr>
                <w:rFonts w:ascii="Arial" w:hAnsi="Arial"/>
                <w:sz w:val="18"/>
                <w:szCs w:val="18"/>
              </w:rPr>
              <w:t>5</w:t>
            </w: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2</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w:t>
            </w:r>
          </w:p>
        </w:tc>
      </w:tr>
      <w:tr w:rsidR="004C033A">
        <w:trPr>
          <w:cantSplit/>
        </w:trPr>
        <w:tc>
          <w:tcPr>
            <w:tcW w:w="135" w:type="dxa"/>
            <w:shd w:val="clear" w:color="auto" w:fill="auto"/>
            <w:vAlign w:val="center"/>
          </w:tcPr>
          <w:p w:rsidR="004C033A" w:rsidRDefault="004C033A">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rsidP="00277C02">
            <w:pPr>
              <w:spacing w:after="0"/>
              <w:jc w:val="center"/>
            </w:pPr>
            <w:r>
              <w:rPr>
                <w:rFonts w:ascii="Arial" w:hAnsi="Arial"/>
                <w:sz w:val="18"/>
                <w:szCs w:val="18"/>
              </w:rPr>
              <w:t>50</w:t>
            </w:r>
          </w:p>
        </w:tc>
        <w:tc>
          <w:tcPr>
            <w:tcW w:w="351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4C033A" w:rsidRDefault="004C033A">
            <w:pPr>
              <w:spacing w:after="0"/>
              <w:ind w:left="105"/>
            </w:pPr>
            <w:r>
              <w:rPr>
                <w:rFonts w:ascii="Arial" w:hAnsi="Arial"/>
                <w:sz w:val="18"/>
                <w:szCs w:val="18"/>
              </w:rPr>
              <w:t>Остаток денежных средств и их эквивалентов на конец периода</w:t>
            </w:r>
          </w:p>
        </w:tc>
        <w:tc>
          <w:tcPr>
            <w:tcW w:w="12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wordWrap w:val="0"/>
              <w:spacing w:after="0"/>
              <w:jc w:val="center"/>
            </w:pPr>
            <w:r>
              <w:rPr>
                <w:rFonts w:ascii="Arial" w:hAnsi="Arial"/>
                <w:sz w:val="18"/>
                <w:szCs w:val="18"/>
              </w:rPr>
              <w:t>5</w:t>
            </w:r>
          </w:p>
        </w:tc>
        <w:tc>
          <w:tcPr>
            <w:tcW w:w="246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103 013</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4C033A" w:rsidRDefault="004C033A">
            <w:pPr>
              <w:spacing w:after="0"/>
              <w:jc w:val="center"/>
            </w:pPr>
            <w:r>
              <w:rPr>
                <w:rFonts w:ascii="Arial" w:hAnsi="Arial"/>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2"/>
            <w:shd w:val="clear" w:color="auto" w:fill="auto"/>
            <w:tcMar>
              <w:left w:w="0" w:type="dxa"/>
            </w:tcMar>
            <w:vAlign w:val="center"/>
          </w:tcPr>
          <w:p w:rsidR="00716B8B" w:rsidRDefault="00716B8B">
            <w:pPr>
              <w:spacing w:after="0"/>
            </w:pPr>
          </w:p>
        </w:tc>
        <w:tc>
          <w:tcPr>
            <w:tcW w:w="210" w:type="dxa"/>
            <w:shd w:val="clear" w:color="auto" w:fill="auto"/>
            <w:vAlign w:val="center"/>
          </w:tcPr>
          <w:p w:rsidR="00716B8B" w:rsidRDefault="00716B8B">
            <w:pPr>
              <w:spacing w:after="0"/>
              <w:jc w:val="center"/>
            </w:pPr>
          </w:p>
        </w:tc>
        <w:tc>
          <w:tcPr>
            <w:tcW w:w="2520" w:type="dxa"/>
            <w:gridSpan w:val="2"/>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2"/>
            <w:tcBorders>
              <w:bottom w:val="none" w:sz="5" w:space="0" w:color="auto"/>
            </w:tcBorders>
            <w:shd w:val="clear" w:color="auto" w:fill="auto"/>
            <w:vAlign w:val="center"/>
          </w:tcPr>
          <w:p w:rsidR="00716B8B" w:rsidRDefault="00716B8B">
            <w:pPr>
              <w:spacing w:after="0"/>
              <w:jc w:val="center"/>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2"/>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Генеральный директор</w:t>
            </w:r>
          </w:p>
        </w:tc>
        <w:tc>
          <w:tcPr>
            <w:tcW w:w="210" w:type="dxa"/>
            <w:shd w:val="clear" w:color="auto" w:fill="auto"/>
            <w:vAlign w:val="center"/>
          </w:tcPr>
          <w:p w:rsidR="00716B8B" w:rsidRDefault="00716B8B">
            <w:pPr>
              <w:spacing w:after="0"/>
              <w:jc w:val="center"/>
            </w:pPr>
          </w:p>
        </w:tc>
        <w:tc>
          <w:tcPr>
            <w:tcW w:w="2520" w:type="dxa"/>
            <w:gridSpan w:val="2"/>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2"/>
            <w:tcBorders>
              <w:bottom w:val="single" w:sz="5" w:space="0" w:color="auto"/>
            </w:tcBorders>
            <w:shd w:val="clear" w:color="auto" w:fill="auto"/>
            <w:vAlign w:val="center"/>
          </w:tcPr>
          <w:p w:rsidR="00716B8B" w:rsidRDefault="00716B8B">
            <w:pPr>
              <w:spacing w:after="0"/>
              <w:jc w:val="center"/>
            </w:pPr>
          </w:p>
        </w:tc>
        <w:tc>
          <w:tcPr>
            <w:tcW w:w="210" w:type="dxa"/>
            <w:shd w:val="clear" w:color="auto" w:fill="auto"/>
            <w:vAlign w:val="center"/>
          </w:tcPr>
          <w:p w:rsidR="00716B8B" w:rsidRDefault="00716B8B">
            <w:pPr>
              <w:spacing w:after="0"/>
              <w:jc w:val="center"/>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2"/>
            <w:tcBorders>
              <w:top w:val="single" w:sz="5" w:space="0" w:color="auto"/>
            </w:tcBorders>
            <w:shd w:val="clear" w:color="auto" w:fill="auto"/>
          </w:tcPr>
          <w:p w:rsidR="00716B8B" w:rsidRDefault="005D4FA8">
            <w:pPr>
              <w:spacing w:after="0"/>
              <w:jc w:val="center"/>
            </w:pPr>
            <w:r>
              <w:rPr>
                <w:rFonts w:ascii="Arial" w:hAnsi="Arial"/>
                <w:sz w:val="18"/>
                <w:szCs w:val="18"/>
              </w:rPr>
              <w:t>(должность)</w:t>
            </w:r>
          </w:p>
        </w:tc>
        <w:tc>
          <w:tcPr>
            <w:tcW w:w="210" w:type="dxa"/>
            <w:shd w:val="clear" w:color="auto" w:fill="auto"/>
            <w:tcMar>
              <w:left w:w="0" w:type="dxa"/>
            </w:tcMar>
            <w:vAlign w:val="center"/>
          </w:tcPr>
          <w:p w:rsidR="00716B8B" w:rsidRDefault="00716B8B">
            <w:pPr>
              <w:spacing w:after="0"/>
            </w:pPr>
          </w:p>
        </w:tc>
        <w:tc>
          <w:tcPr>
            <w:tcW w:w="2520" w:type="dxa"/>
            <w:gridSpan w:val="2"/>
            <w:tcBorders>
              <w:top w:val="single" w:sz="5" w:space="0" w:color="auto"/>
            </w:tcBorders>
            <w:shd w:val="clear" w:color="auto" w:fill="auto"/>
          </w:tcPr>
          <w:p w:rsidR="00716B8B" w:rsidRDefault="005D4FA8">
            <w:pPr>
              <w:spacing w:after="0"/>
              <w:jc w:val="center"/>
            </w:pPr>
            <w:r>
              <w:rPr>
                <w:rFonts w:ascii="Arial" w:hAnsi="Arial"/>
                <w:sz w:val="18"/>
                <w:szCs w:val="18"/>
              </w:rPr>
              <w:t>(подпись)</w:t>
            </w:r>
          </w:p>
        </w:tc>
        <w:tc>
          <w:tcPr>
            <w:tcW w:w="210" w:type="dxa"/>
            <w:shd w:val="clear" w:color="auto" w:fill="auto"/>
            <w:tcMar>
              <w:left w:w="0" w:type="dxa"/>
            </w:tcMar>
            <w:vAlign w:val="center"/>
          </w:tcPr>
          <w:p w:rsidR="00716B8B" w:rsidRDefault="00716B8B">
            <w:pPr>
              <w:spacing w:after="0"/>
            </w:pPr>
          </w:p>
        </w:tc>
        <w:tc>
          <w:tcPr>
            <w:tcW w:w="2520" w:type="dxa"/>
            <w:gridSpan w:val="2"/>
            <w:tcBorders>
              <w:top w:val="single" w:sz="5" w:space="0" w:color="auto"/>
            </w:tcBorders>
            <w:shd w:val="clear" w:color="auto" w:fill="auto"/>
            <w:vAlign w:val="center"/>
          </w:tcPr>
          <w:p w:rsidR="00716B8B" w:rsidRDefault="005D4FA8">
            <w:pPr>
              <w:spacing w:after="0"/>
              <w:jc w:val="center"/>
            </w:pPr>
            <w:r>
              <w:rPr>
                <w:rFonts w:ascii="Arial" w:hAnsi="Arial"/>
                <w:sz w:val="18"/>
                <w:szCs w:val="18"/>
              </w:rPr>
              <w:t>Фамилия, имя, отчество (последнее – при наличии)</w:t>
            </w: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2"/>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2235" w:type="dxa"/>
            <w:gridSpan w:val="2"/>
            <w:tcBorders>
              <w:bottom w:val="single" w:sz="5" w:space="0" w:color="auto"/>
            </w:tcBorders>
            <w:shd w:val="clear" w:color="auto" w:fill="auto"/>
            <w:vAlign w:val="center"/>
          </w:tcPr>
          <w:p w:rsidR="00716B8B" w:rsidRDefault="005D4FA8">
            <w:pPr>
              <w:spacing w:after="0"/>
              <w:jc w:val="center"/>
            </w:pPr>
            <w:r>
              <w:rPr>
                <w:rFonts w:ascii="Arial" w:hAnsi="Arial"/>
                <w:sz w:val="18"/>
                <w:szCs w:val="18"/>
              </w:rPr>
              <w:t>29.04.2025</w:t>
            </w: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c>
          <w:tcPr>
            <w:tcW w:w="210" w:type="dxa"/>
            <w:shd w:val="clear" w:color="auto" w:fill="auto"/>
            <w:tcMar>
              <w:left w:w="0" w:type="dxa"/>
            </w:tcMar>
            <w:vAlign w:val="center"/>
          </w:tcPr>
          <w:p w:rsidR="00716B8B" w:rsidRDefault="00716B8B">
            <w:pPr>
              <w:spacing w:after="0"/>
            </w:pPr>
          </w:p>
        </w:tc>
        <w:tc>
          <w:tcPr>
            <w:tcW w:w="2520" w:type="dxa"/>
            <w:gridSpan w:val="2"/>
            <w:shd w:val="clear" w:color="auto" w:fill="auto"/>
            <w:tcMar>
              <w:left w:w="0" w:type="dxa"/>
            </w:tcMar>
            <w:vAlign w:val="center"/>
          </w:tcPr>
          <w:p w:rsidR="00716B8B" w:rsidRDefault="00716B8B">
            <w:pPr>
              <w:spacing w:after="0"/>
            </w:pPr>
          </w:p>
        </w:tc>
      </w:tr>
    </w:tbl>
    <w:p w:rsidR="00716B8B" w:rsidRDefault="00716B8B">
      <w:pPr>
        <w:sectPr w:rsidR="00716B8B">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tcMar>
              <w:left w:w="105" w:type="dxa"/>
            </w:tcMar>
            <w:vAlign w:val="center"/>
          </w:tcPr>
          <w:p w:rsidR="00716B8B" w:rsidRDefault="00716B8B">
            <w:pPr>
              <w:spacing w:after="0"/>
              <w:ind w:left="105"/>
            </w:pPr>
          </w:p>
        </w:tc>
        <w:tc>
          <w:tcPr>
            <w:tcW w:w="10425" w:type="dxa"/>
            <w:gridSpan w:val="3"/>
            <w:shd w:val="clear" w:color="auto" w:fill="auto"/>
            <w:tcMar>
              <w:left w:w="105" w:type="dxa"/>
            </w:tcMar>
            <w:vAlign w:val="center"/>
          </w:tcPr>
          <w:p w:rsidR="00716B8B" w:rsidRDefault="005D4FA8">
            <w:pPr>
              <w:spacing w:after="0"/>
              <w:ind w:left="105"/>
            </w:pPr>
            <w:r>
              <w:rPr>
                <w:rFonts w:ascii="Arial" w:hAnsi="Arial"/>
                <w:b/>
                <w:sz w:val="24"/>
                <w:szCs w:val="24"/>
              </w:rPr>
              <w:t>﻿Примечание 1. Основная деятельность организации</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tcMar>
              <w:left w:w="105" w:type="dxa"/>
            </w:tcMar>
            <w:vAlign w:val="center"/>
          </w:tcPr>
          <w:p w:rsidR="00716B8B" w:rsidRDefault="00716B8B">
            <w:pPr>
              <w:spacing w:after="0"/>
              <w:ind w:left="105"/>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5D4FA8">
            <w:pPr>
              <w:spacing w:after="0"/>
              <w:jc w:val="center"/>
            </w:pPr>
            <w:r>
              <w:rPr>
                <w:rFonts w:ascii="Arial" w:hAnsi="Arial"/>
                <w:b/>
              </w:rPr>
              <w:t>Основная деятельность организации</w:t>
            </w: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10425" w:type="dxa"/>
            <w:gridSpan w:val="3"/>
            <w:shd w:val="clear" w:color="auto" w:fill="auto"/>
            <w:tcMar>
              <w:right w:w="105" w:type="dxa"/>
            </w:tcMar>
            <w:vAlign w:val="center"/>
          </w:tcPr>
          <w:p w:rsidR="00716B8B" w:rsidRDefault="005D4FA8">
            <w:pPr>
              <w:spacing w:after="0"/>
              <w:jc w:val="right"/>
            </w:pPr>
            <w:r>
              <w:rPr>
                <w:rFonts w:ascii="Arial" w:hAnsi="Arial"/>
                <w:b/>
                <w:sz w:val="20"/>
                <w:szCs w:val="20"/>
              </w:rPr>
              <w:t>Таблица 1.1</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Номер лицензии, дата выдачи лицензии (номер в реестре, дата включения в реестр)</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045-14245-000100 от 22.11.2024, 22-000-0-00130 от 26.11.2024</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Деятельность, осуществляемая организацией</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Лицензия профессионального участника рынка ценных бумаг на осуществление депозитарной деятельности, 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Организационно-правовая форма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с ограниченной ответственностью</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Место нахождения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115162, г. Москва, </w:t>
            </w:r>
            <w:proofErr w:type="spellStart"/>
            <w:r>
              <w:rPr>
                <w:rFonts w:ascii="Arial" w:hAnsi="Arial"/>
                <w:sz w:val="18"/>
                <w:szCs w:val="18"/>
              </w:rPr>
              <w:t>вн.тер.г</w:t>
            </w:r>
            <w:proofErr w:type="spellEnd"/>
            <w:r>
              <w:rPr>
                <w:rFonts w:ascii="Arial" w:hAnsi="Arial"/>
                <w:sz w:val="18"/>
                <w:szCs w:val="18"/>
              </w:rPr>
              <w:t>.</w:t>
            </w:r>
            <w:r>
              <w:rPr>
                <w:rFonts w:ascii="Arial" w:hAnsi="Arial"/>
                <w:sz w:val="18"/>
                <w:szCs w:val="18"/>
              </w:rPr>
              <w:br/>
              <w:t>муниципальный округ Донской,</w:t>
            </w:r>
            <w:r>
              <w:rPr>
                <w:rFonts w:ascii="Arial" w:hAnsi="Arial"/>
                <w:sz w:val="18"/>
                <w:szCs w:val="18"/>
              </w:rPr>
              <w:br/>
              <w:t>ул. Шухова, д. 14, стр. 11</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Наименование и место нахождения материнской организации. Информация о </w:t>
            </w:r>
            <w:proofErr w:type="spellStart"/>
            <w:r>
              <w:rPr>
                <w:rFonts w:ascii="Arial" w:hAnsi="Arial"/>
                <w:sz w:val="18"/>
                <w:szCs w:val="18"/>
              </w:rPr>
              <w:t>бенефициарном</w:t>
            </w:r>
            <w:proofErr w:type="spellEnd"/>
            <w:r>
              <w:rPr>
                <w:rFonts w:ascii="Arial" w:hAnsi="Arial"/>
                <w:sz w:val="18"/>
                <w:szCs w:val="18"/>
              </w:rPr>
              <w:t xml:space="preserve"> владельце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Конечный бенефициар - </w:t>
            </w:r>
            <w:proofErr w:type="spellStart"/>
            <w:r>
              <w:rPr>
                <w:rFonts w:ascii="Arial" w:hAnsi="Arial"/>
                <w:sz w:val="18"/>
                <w:szCs w:val="18"/>
              </w:rPr>
              <w:t>Куделин</w:t>
            </w:r>
            <w:proofErr w:type="spellEnd"/>
            <w:r>
              <w:rPr>
                <w:rFonts w:ascii="Arial" w:hAnsi="Arial"/>
                <w:sz w:val="18"/>
                <w:szCs w:val="18"/>
              </w:rPr>
              <w:t xml:space="preserve"> Николай Анатольевич. Материнского предприятия нет.</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Количество и места нахождения филиалов организации, открытых на территории Российской Федерации и на территории иностранных государств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Фактическая численность работников организации на начало и конец отчетного периода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19</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tcMar>
              <w:left w:w="105" w:type="dxa"/>
            </w:tcMar>
            <w:vAlign w:val="center"/>
          </w:tcPr>
          <w:p w:rsidR="00716B8B" w:rsidRDefault="00716B8B">
            <w:pPr>
              <w:spacing w:after="0"/>
              <w:ind w:left="105"/>
            </w:pPr>
          </w:p>
        </w:tc>
      </w:tr>
    </w:tbl>
    <w:p w:rsidR="00716B8B" w:rsidRDefault="00716B8B">
      <w:pPr>
        <w:sectPr w:rsidR="00716B8B">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tcMar>
              <w:left w:w="105" w:type="dxa"/>
            </w:tcMar>
            <w:vAlign w:val="center"/>
          </w:tcPr>
          <w:p w:rsidR="00716B8B" w:rsidRDefault="00716B8B">
            <w:pPr>
              <w:spacing w:after="0"/>
              <w:ind w:left="105"/>
            </w:pPr>
          </w:p>
        </w:tc>
        <w:tc>
          <w:tcPr>
            <w:tcW w:w="10425" w:type="dxa"/>
            <w:gridSpan w:val="3"/>
            <w:shd w:val="clear" w:color="auto" w:fill="auto"/>
            <w:tcMar>
              <w:left w:w="105" w:type="dxa"/>
            </w:tcMar>
            <w:vAlign w:val="center"/>
          </w:tcPr>
          <w:p w:rsidR="00716B8B" w:rsidRDefault="005D4FA8">
            <w:pPr>
              <w:spacing w:after="0"/>
              <w:ind w:left="105"/>
            </w:pPr>
            <w:r>
              <w:rPr>
                <w:rFonts w:ascii="Arial" w:hAnsi="Arial"/>
                <w:b/>
                <w:sz w:val="24"/>
                <w:szCs w:val="24"/>
              </w:rPr>
              <w:t>Примечание 2. Экономическая среда, в которой организация осуществляет свою деятельность</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tcMar>
              <w:left w:w="105" w:type="dxa"/>
            </w:tcMar>
            <w:vAlign w:val="center"/>
          </w:tcPr>
          <w:p w:rsidR="00716B8B" w:rsidRDefault="00716B8B">
            <w:pPr>
              <w:spacing w:after="0"/>
              <w:ind w:left="105"/>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5D4FA8">
            <w:pPr>
              <w:spacing w:after="0"/>
              <w:jc w:val="center"/>
            </w:pPr>
            <w:r>
              <w:rPr>
                <w:rFonts w:ascii="Arial" w:hAnsi="Arial"/>
                <w:b/>
              </w:rPr>
              <w:t>Экономическая среда, в которой организация осуществляет свою деятельность</w:t>
            </w: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10425" w:type="dxa"/>
            <w:gridSpan w:val="3"/>
            <w:shd w:val="clear" w:color="auto" w:fill="auto"/>
            <w:tcMar>
              <w:right w:w="105" w:type="dxa"/>
            </w:tcMar>
            <w:vAlign w:val="center"/>
          </w:tcPr>
          <w:p w:rsidR="00716B8B" w:rsidRDefault="005D4FA8">
            <w:pPr>
              <w:spacing w:after="0"/>
              <w:jc w:val="right"/>
            </w:pPr>
            <w:r>
              <w:rPr>
                <w:rFonts w:ascii="Arial" w:hAnsi="Arial"/>
                <w:b/>
                <w:sz w:val="20"/>
                <w:szCs w:val="20"/>
              </w:rPr>
              <w:t>Таблица 2.1</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Основные факторы и влияния, определяющие финансовые результаты</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Общество осуществляет свою деятельность на территории Российской Федерации. В 2025 году сохраняется влияние на российскую экономику таких факторов, как геополитическая обстановка, ограничения, введенные в отношении Российской Федерации и ее экономических субъектов отдельными государствами и их объединениями, меры, принимаемые Российской Федерацией в ответ на внешнее </w:t>
            </w:r>
            <w:proofErr w:type="spellStart"/>
            <w:r>
              <w:rPr>
                <w:rFonts w:ascii="Arial" w:hAnsi="Arial"/>
                <w:sz w:val="18"/>
                <w:szCs w:val="18"/>
              </w:rPr>
              <w:t>санкционное</w:t>
            </w:r>
            <w:proofErr w:type="spellEnd"/>
            <w:r>
              <w:rPr>
                <w:rFonts w:ascii="Arial" w:hAnsi="Arial"/>
                <w:sz w:val="18"/>
                <w:szCs w:val="18"/>
              </w:rPr>
              <w:t xml:space="preserve"> давление.</w:t>
            </w:r>
            <w:r>
              <w:rPr>
                <w:rFonts w:ascii="Arial" w:hAnsi="Arial"/>
                <w:sz w:val="18"/>
                <w:szCs w:val="18"/>
              </w:rPr>
              <w:br/>
              <w:t>Политическая напряженность и экономическая нестабильность, а также международные санкции в отношении некоторых российских компаний и граждан оказывают негативное влияние на российскую экономику.</w:t>
            </w:r>
            <w:r>
              <w:rPr>
                <w:rFonts w:ascii="Arial" w:hAnsi="Arial"/>
                <w:sz w:val="18"/>
                <w:szCs w:val="18"/>
              </w:rPr>
              <w:br/>
              <w:t>На текущий момент длительность влияния санкций, равно как и угрозу введения в будущем дополнительных санкций сложно определить.</w:t>
            </w:r>
            <w:r>
              <w:rPr>
                <w:rFonts w:ascii="Arial" w:hAnsi="Arial"/>
                <w:sz w:val="18"/>
                <w:szCs w:val="18"/>
              </w:rPr>
              <w:br/>
              <w:t>Объявленные и введенные международные санкции привели к росту нестабильности на финансовых рынках, резкому изменению цен на финансовые инструменты, увеличению спредов по торговым операциям, снижению кредитных  рейтингов заемщиков в Российской Федерации. Ухудшение ситуации на рынках капитала, товарных и валютных рынках не повлияло на финансовое положение Общества, не оказало влияние на непрерывность деятельности Общества. Правительством РФ и Банком России принимаются меры для поддержания финансовой стабильности и обеспечения непрерывности работы бизнеса и финансового сектора. Кроме того, введение рядом стран санкций в отношении российских компаний, а также введение ответных мер Правительством Российской Федерации, сокращение объемов рынка капитала и рынка кредитования, существенные колебания курса российского рубля по отношению к иностранным валютам приводит к неопределенности экономической ситуации.</w:t>
            </w:r>
            <w:r>
              <w:rPr>
                <w:rFonts w:ascii="Arial" w:hAnsi="Arial"/>
                <w:sz w:val="18"/>
                <w:szCs w:val="18"/>
              </w:rPr>
              <w:br/>
              <w:t>Ключевая ставка сохраняет свое значение на уровне 21% годовых.</w:t>
            </w:r>
            <w:r>
              <w:rPr>
                <w:rFonts w:ascii="Arial" w:hAnsi="Arial"/>
                <w:sz w:val="18"/>
                <w:szCs w:val="18"/>
              </w:rPr>
              <w:br/>
              <w:t>При этом, основными факторами и влияниями, определяющими финансовые результаты компании, является ситуация на рынке коллективных инвестиций.</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Изменения внешних условий, в которых организация осуществляет свою деятельность, действия организации в отношении указанных изменений и их результат</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Руководство Общества полагает, что оно предпринимает все надлежащие меры по поддержанию экономической устойчивости Общества в текущих условиях и имеет адекватную ситуацию, соответствующую масштабам бизнеса, а также систему по управлению рисками для того, чтобы предотвратить их негативное влияние в будущем. Однако, будущие последствия сложившейся экономической ситуации сложно прогнозировать, и текущие ожидания и оценки руководства могут отличаться от фактических результатов.</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tcMar>
              <w:left w:w="105" w:type="dxa"/>
            </w:tcMar>
            <w:vAlign w:val="center"/>
          </w:tcPr>
          <w:p w:rsidR="00716B8B" w:rsidRDefault="00716B8B">
            <w:pPr>
              <w:spacing w:after="0"/>
              <w:ind w:left="105"/>
            </w:pPr>
          </w:p>
        </w:tc>
      </w:tr>
    </w:tbl>
    <w:p w:rsidR="00716B8B" w:rsidRDefault="00716B8B">
      <w:pPr>
        <w:sectPr w:rsidR="00716B8B">
          <w:pgSz w:w="11907" w:h="16839"/>
          <w:pgMar w:top="567" w:right="567" w:bottom="567" w:left="567" w:header="720" w:footer="720" w:gutter="0"/>
          <w:cols w:space="720"/>
        </w:sectPr>
      </w:pPr>
    </w:p>
    <w:tbl>
      <w:tblPr>
        <w:tblW w:w="10560" w:type="dxa"/>
        <w:tblInd w:w="105"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tcMar>
              <w:left w:w="105" w:type="dxa"/>
            </w:tcMar>
            <w:vAlign w:val="center"/>
          </w:tcPr>
          <w:p w:rsidR="00716B8B" w:rsidRDefault="00716B8B">
            <w:pPr>
              <w:spacing w:after="0"/>
              <w:ind w:left="105"/>
            </w:pPr>
          </w:p>
        </w:tc>
        <w:tc>
          <w:tcPr>
            <w:tcW w:w="10425" w:type="dxa"/>
            <w:gridSpan w:val="3"/>
            <w:shd w:val="clear" w:color="auto" w:fill="auto"/>
            <w:tcMar>
              <w:left w:w="105" w:type="dxa"/>
            </w:tcMar>
            <w:vAlign w:val="center"/>
          </w:tcPr>
          <w:p w:rsidR="00716B8B" w:rsidRDefault="005D4FA8">
            <w:pPr>
              <w:spacing w:after="0"/>
              <w:ind w:left="105"/>
            </w:pPr>
            <w:r>
              <w:rPr>
                <w:rFonts w:ascii="Arial" w:hAnsi="Arial"/>
                <w:b/>
                <w:sz w:val="24"/>
                <w:szCs w:val="24"/>
              </w:rPr>
              <w:t>Примечание 3. Основы составления бухгалтерской (финансовой) отчетности</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tcMar>
              <w:left w:w="105" w:type="dxa"/>
            </w:tcMar>
            <w:vAlign w:val="center"/>
          </w:tcPr>
          <w:p w:rsidR="00716B8B" w:rsidRDefault="00716B8B">
            <w:pPr>
              <w:spacing w:after="0"/>
              <w:ind w:left="105"/>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5D4FA8">
            <w:pPr>
              <w:spacing w:after="0"/>
              <w:jc w:val="center"/>
            </w:pPr>
            <w:r>
              <w:rPr>
                <w:rFonts w:ascii="Arial" w:hAnsi="Arial"/>
                <w:b/>
              </w:rPr>
              <w:t>Основы составления бухгалтерской (финансовой) отчетности</w:t>
            </w: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105" w:type="dxa"/>
            </w:tcMar>
            <w:vAlign w:val="center"/>
          </w:tcPr>
          <w:p w:rsidR="00716B8B" w:rsidRDefault="00716B8B">
            <w:pPr>
              <w:spacing w:after="0"/>
              <w:ind w:left="105"/>
            </w:pPr>
          </w:p>
        </w:tc>
        <w:tc>
          <w:tcPr>
            <w:tcW w:w="538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right w:w="105" w:type="dxa"/>
            </w:tcMar>
            <w:vAlign w:val="center"/>
          </w:tcPr>
          <w:p w:rsidR="00716B8B" w:rsidRDefault="00716B8B">
            <w:pPr>
              <w:spacing w:after="0"/>
              <w:jc w:val="right"/>
            </w:pPr>
          </w:p>
        </w:tc>
        <w:tc>
          <w:tcPr>
            <w:tcW w:w="10425" w:type="dxa"/>
            <w:gridSpan w:val="3"/>
            <w:shd w:val="clear" w:color="auto" w:fill="auto"/>
            <w:tcMar>
              <w:right w:w="105" w:type="dxa"/>
            </w:tcMar>
            <w:vAlign w:val="center"/>
          </w:tcPr>
          <w:p w:rsidR="00716B8B" w:rsidRDefault="005D4FA8">
            <w:pPr>
              <w:spacing w:after="0"/>
              <w:jc w:val="right"/>
            </w:pPr>
            <w:r>
              <w:rPr>
                <w:rFonts w:ascii="Arial" w:hAnsi="Arial"/>
                <w:b/>
                <w:sz w:val="20"/>
                <w:szCs w:val="20"/>
              </w:rPr>
              <w:t>Таблица 3.1</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Основы подготовки бухгалтерской (финансовой) отчетности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Данная бухгалтерская (финансовая) отчетность подготовлена в соответствии с Отраслевыми стандартами бухгалтерского учета (далее - ОСБУ), утвержденными Банком России. При применении ОСБУ </w:t>
            </w:r>
            <w:proofErr w:type="spellStart"/>
            <w:r>
              <w:rPr>
                <w:rFonts w:ascii="Arial" w:hAnsi="Arial"/>
                <w:sz w:val="18"/>
                <w:szCs w:val="18"/>
              </w:rPr>
              <w:t>некредитная</w:t>
            </w:r>
            <w:proofErr w:type="spellEnd"/>
            <w:r>
              <w:rPr>
                <w:rFonts w:ascii="Arial" w:hAnsi="Arial"/>
                <w:sz w:val="18"/>
                <w:szCs w:val="18"/>
              </w:rPr>
              <w:t xml:space="preserve"> финансовая организация руководствовалось соответствующими стандартами и разъяснениями МСФО, введенными в действие на территории РФ (с учетом применения МСФО 9 и 16).Общество не заполняет примечания по операциям, которые отсутствовали в отчетном периоде, при отсутствии показателей (статей) в формах бухгалтерской (финансовой) отчетности Общества, а также в примечаниях к ним, эти показатели (статьи) исключаются из форм бухгалтерской (финансовой) отчетности Общества, а также из примечаний к ним в соответствии с Положением Банка России от 02.10.2024г. №843-П. При этом нумерация строк сохраняется согласно Положению Банка России от 02.10.2024г. №843-П.</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Причины </w:t>
            </w:r>
            <w:proofErr w:type="spellStart"/>
            <w:r>
              <w:rPr>
                <w:rFonts w:ascii="Arial" w:hAnsi="Arial"/>
                <w:sz w:val="18"/>
                <w:szCs w:val="18"/>
              </w:rPr>
              <w:t>реклассификации</w:t>
            </w:r>
            <w:proofErr w:type="spellEnd"/>
            <w:r>
              <w:rPr>
                <w:rFonts w:ascii="Arial" w:hAnsi="Arial"/>
                <w:sz w:val="18"/>
                <w:szCs w:val="18"/>
              </w:rPr>
              <w:t xml:space="preserve"> сравнительных сумм</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proofErr w:type="spellStart"/>
            <w:r>
              <w:rPr>
                <w:rFonts w:ascii="Arial" w:hAnsi="Arial"/>
                <w:sz w:val="18"/>
                <w:szCs w:val="18"/>
              </w:rPr>
              <w:t>Реклассификация</w:t>
            </w:r>
            <w:proofErr w:type="spellEnd"/>
            <w:r>
              <w:rPr>
                <w:rFonts w:ascii="Arial" w:hAnsi="Arial"/>
                <w:sz w:val="18"/>
                <w:szCs w:val="18"/>
              </w:rPr>
              <w:t xml:space="preserve"> сравнительных сумм не осуществлялась.</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Описание </w:t>
            </w:r>
            <w:proofErr w:type="spellStart"/>
            <w:r>
              <w:rPr>
                <w:rFonts w:ascii="Arial" w:hAnsi="Arial"/>
                <w:sz w:val="18"/>
                <w:szCs w:val="18"/>
              </w:rPr>
              <w:t>реклассификации</w:t>
            </w:r>
            <w:proofErr w:type="spellEnd"/>
            <w:r>
              <w:rPr>
                <w:rFonts w:ascii="Arial" w:hAnsi="Arial"/>
                <w:sz w:val="18"/>
                <w:szCs w:val="18"/>
              </w:rPr>
              <w:t xml:space="preserve"> сравнительных сумм (включая информацию по состоянию на начало предыдущего отчетного года)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Сумма каждого показателя, который является предметом </w:t>
            </w:r>
            <w:proofErr w:type="spellStart"/>
            <w:r>
              <w:rPr>
                <w:rFonts w:ascii="Arial" w:hAnsi="Arial"/>
                <w:sz w:val="18"/>
                <w:szCs w:val="18"/>
              </w:rPr>
              <w:t>реклассификации</w:t>
            </w:r>
            <w:proofErr w:type="spellEnd"/>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Существенное влияние ретроспективного применения учетной политики на сравнительную информацию на начало предыдущего отчетного года, существенное влияние ретроспективного пересчета или </w:t>
            </w:r>
            <w:proofErr w:type="spellStart"/>
            <w:r>
              <w:rPr>
                <w:rFonts w:ascii="Arial" w:hAnsi="Arial"/>
                <w:sz w:val="18"/>
                <w:szCs w:val="18"/>
              </w:rPr>
              <w:t>реклассификации</w:t>
            </w:r>
            <w:proofErr w:type="spellEnd"/>
            <w:r>
              <w:rPr>
                <w:rFonts w:ascii="Arial" w:hAnsi="Arial"/>
                <w:sz w:val="18"/>
                <w:szCs w:val="18"/>
              </w:rPr>
              <w:t xml:space="preserve"> остатков на начало предыдущего отчетного года в связи с исправлением ошибок</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vAlign w:val="center"/>
          </w:tcPr>
          <w:p w:rsidR="00716B8B" w:rsidRDefault="00716B8B">
            <w:pPr>
              <w:spacing w:after="0"/>
              <w:jc w:val="center"/>
            </w:pPr>
          </w:p>
        </w:tc>
      </w:tr>
      <w:tr w:rsidR="00716B8B">
        <w:trPr>
          <w:cantSplit/>
        </w:trPr>
        <w:tc>
          <w:tcPr>
            <w:tcW w:w="135" w:type="dxa"/>
            <w:shd w:val="clear" w:color="auto" w:fill="auto"/>
            <w:vAlign w:val="center"/>
          </w:tcPr>
          <w:p w:rsidR="00716B8B" w:rsidRDefault="00716B8B">
            <w:pPr>
              <w:spacing w:after="0"/>
              <w:jc w:val="center"/>
            </w:pPr>
          </w:p>
        </w:tc>
        <w:tc>
          <w:tcPr>
            <w:tcW w:w="10425" w:type="dxa"/>
            <w:gridSpan w:val="3"/>
            <w:shd w:val="clear" w:color="auto" w:fill="auto"/>
            <w:tcMar>
              <w:left w:w="105" w:type="dxa"/>
            </w:tcMar>
            <w:vAlign w:val="center"/>
          </w:tcPr>
          <w:p w:rsidR="00716B8B" w:rsidRDefault="00716B8B">
            <w:pPr>
              <w:spacing w:after="0"/>
              <w:ind w:left="105"/>
            </w:pP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vAlign w:val="center"/>
          </w:tcPr>
          <w:p w:rsidR="00716B8B" w:rsidRDefault="00716B8B">
            <w:pPr>
              <w:spacing w:after="0"/>
            </w:pPr>
          </w:p>
        </w:tc>
        <w:tc>
          <w:tcPr>
            <w:tcW w:w="10425" w:type="dxa"/>
            <w:gridSpan w:val="3"/>
            <w:shd w:val="clear" w:color="auto" w:fill="auto"/>
            <w:tcMar>
              <w:left w:w="105" w:type="dxa"/>
            </w:tcMar>
            <w:vAlign w:val="center"/>
          </w:tcPr>
          <w:p w:rsidR="00716B8B" w:rsidRDefault="005D4FA8">
            <w:pPr>
              <w:spacing w:after="0"/>
              <w:ind w:left="105"/>
            </w:pPr>
            <w:r>
              <w:rPr>
                <w:rFonts w:ascii="Arial" w:hAnsi="Arial"/>
                <w:b/>
                <w:sz w:val="24"/>
                <w:szCs w:val="24"/>
              </w:rPr>
              <w:t>Примечание 4. Принципы учетной политики, бухгалтерские оценки и профессиональные суждения в применении учетной политики</w:t>
            </w:r>
          </w:p>
        </w:tc>
      </w:tr>
      <w:tr w:rsidR="00716B8B">
        <w:trPr>
          <w:cantSplit/>
        </w:trPr>
        <w:tc>
          <w:tcPr>
            <w:tcW w:w="135" w:type="dxa"/>
            <w:shd w:val="clear" w:color="auto" w:fill="auto"/>
            <w:vAlign w:val="center"/>
          </w:tcPr>
          <w:p w:rsidR="00716B8B" w:rsidRDefault="00716B8B">
            <w:pPr>
              <w:spacing w:after="0"/>
            </w:pPr>
          </w:p>
        </w:tc>
        <w:tc>
          <w:tcPr>
            <w:tcW w:w="735" w:type="dxa"/>
            <w:shd w:val="clear" w:color="auto" w:fill="auto"/>
            <w:vAlign w:val="center"/>
          </w:tcPr>
          <w:p w:rsidR="00716B8B" w:rsidRDefault="00716B8B">
            <w:pPr>
              <w:spacing w:after="0"/>
            </w:pPr>
          </w:p>
        </w:tc>
        <w:tc>
          <w:tcPr>
            <w:tcW w:w="4305" w:type="dxa"/>
            <w:shd w:val="clear" w:color="auto" w:fill="auto"/>
            <w:vAlign w:val="center"/>
          </w:tcPr>
          <w:p w:rsidR="00716B8B" w:rsidRDefault="00716B8B">
            <w:pPr>
              <w:spacing w:after="0"/>
            </w:pPr>
          </w:p>
        </w:tc>
        <w:tc>
          <w:tcPr>
            <w:tcW w:w="5385" w:type="dxa"/>
            <w:shd w:val="clear" w:color="auto" w:fill="auto"/>
            <w:vAlign w:val="center"/>
          </w:tcPr>
          <w:p w:rsidR="00716B8B" w:rsidRDefault="00716B8B">
            <w:pPr>
              <w:spacing w:after="0"/>
            </w:pPr>
          </w:p>
        </w:tc>
      </w:tr>
      <w:tr w:rsidR="00716B8B">
        <w:trPr>
          <w:cantSplit/>
        </w:trPr>
        <w:tc>
          <w:tcPr>
            <w:tcW w:w="135" w:type="dxa"/>
            <w:shd w:val="clear" w:color="auto" w:fill="auto"/>
            <w:vAlign w:val="center"/>
          </w:tcPr>
          <w:p w:rsidR="00716B8B" w:rsidRDefault="00716B8B">
            <w:pPr>
              <w:spacing w:after="0"/>
            </w:pPr>
          </w:p>
        </w:tc>
        <w:tc>
          <w:tcPr>
            <w:tcW w:w="10425" w:type="dxa"/>
            <w:gridSpan w:val="3"/>
            <w:shd w:val="clear" w:color="auto" w:fill="auto"/>
            <w:vAlign w:val="center"/>
          </w:tcPr>
          <w:p w:rsidR="00716B8B" w:rsidRDefault="005D4FA8">
            <w:pPr>
              <w:spacing w:after="0"/>
              <w:jc w:val="center"/>
            </w:pPr>
            <w:r>
              <w:rPr>
                <w:rFonts w:ascii="Arial" w:hAnsi="Arial"/>
                <w:b/>
              </w:rPr>
              <w:t>Изложение принципов учетной политики, бухгалтерские оценки и профессиональные суждения в применении учетной политики</w:t>
            </w:r>
          </w:p>
        </w:tc>
      </w:tr>
      <w:tr w:rsidR="00716B8B">
        <w:trPr>
          <w:cantSplit/>
        </w:trPr>
        <w:tc>
          <w:tcPr>
            <w:tcW w:w="135" w:type="dxa"/>
            <w:shd w:val="clear" w:color="auto" w:fill="auto"/>
            <w:vAlign w:val="center"/>
          </w:tcPr>
          <w:p w:rsidR="00716B8B" w:rsidRDefault="00716B8B">
            <w:pPr>
              <w:spacing w:after="0"/>
            </w:pPr>
          </w:p>
        </w:tc>
        <w:tc>
          <w:tcPr>
            <w:tcW w:w="735" w:type="dxa"/>
            <w:shd w:val="clear" w:color="auto" w:fill="auto"/>
            <w:vAlign w:val="center"/>
          </w:tcPr>
          <w:p w:rsidR="00716B8B" w:rsidRDefault="00716B8B">
            <w:pPr>
              <w:spacing w:after="0"/>
            </w:pPr>
          </w:p>
        </w:tc>
        <w:tc>
          <w:tcPr>
            <w:tcW w:w="4305" w:type="dxa"/>
            <w:shd w:val="clear" w:color="auto" w:fill="auto"/>
            <w:vAlign w:val="center"/>
          </w:tcPr>
          <w:p w:rsidR="00716B8B" w:rsidRDefault="00716B8B">
            <w:pPr>
              <w:spacing w:after="0"/>
            </w:pPr>
          </w:p>
        </w:tc>
        <w:tc>
          <w:tcPr>
            <w:tcW w:w="5385" w:type="dxa"/>
            <w:shd w:val="clear" w:color="auto" w:fill="auto"/>
            <w:vAlign w:val="center"/>
          </w:tcPr>
          <w:p w:rsidR="00716B8B" w:rsidRDefault="00716B8B">
            <w:pPr>
              <w:spacing w:after="0"/>
              <w:jc w:val="right"/>
            </w:pPr>
          </w:p>
        </w:tc>
      </w:tr>
      <w:tr w:rsidR="00716B8B">
        <w:trPr>
          <w:cantSplit/>
        </w:trPr>
        <w:tc>
          <w:tcPr>
            <w:tcW w:w="135" w:type="dxa"/>
            <w:shd w:val="clear" w:color="auto" w:fill="auto"/>
            <w:vAlign w:val="center"/>
          </w:tcPr>
          <w:p w:rsidR="00716B8B" w:rsidRDefault="00716B8B">
            <w:pPr>
              <w:spacing w:after="0"/>
            </w:pPr>
          </w:p>
        </w:tc>
        <w:tc>
          <w:tcPr>
            <w:tcW w:w="10425" w:type="dxa"/>
            <w:gridSpan w:val="3"/>
            <w:shd w:val="clear" w:color="auto" w:fill="auto"/>
            <w:tcMar>
              <w:right w:w="105" w:type="dxa"/>
            </w:tcMar>
            <w:vAlign w:val="center"/>
          </w:tcPr>
          <w:p w:rsidR="00716B8B" w:rsidRDefault="005D4FA8">
            <w:pPr>
              <w:spacing w:after="0"/>
              <w:jc w:val="right"/>
            </w:pPr>
            <w:r>
              <w:rPr>
                <w:rFonts w:ascii="Arial" w:hAnsi="Arial"/>
                <w:b/>
                <w:sz w:val="20"/>
                <w:szCs w:val="20"/>
              </w:rPr>
              <w:t>Таблица 4.1</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 Влияние бухгалтерских оценок и допущений</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Суждения (помимо тех, которые связаны с бухгалтерскими оценками), которые были выработаны руководством организации в процессе применения учетной политики и которые оказывают существенное влияние на суммы, отраженные в бухгалтерской (финансовой) отчетности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Подготовка данной бухгалтерской (финансовой) отчетности по ОСБУ требует применения оценок и допущений, которые оказывают влияние на отражаемые суммы активов и обязательств, раскрытие условных активов и обязательств на дату составления бухгалтерской (финансовой) отчетности, а также суммы доходов и расходов в течение отчетного периода.  Подготовка данной бухгалтерской (финансовой) отчетности по ОСБУ также требует использования суждения руководства в процессе применения учетной политики Общества, Оценки и лежащие в их основе допущения пересматриваются на регулярной основе. Корректировки в оценках признаются перспективно в том отчетном периоде, в котором были пересмотрены соответствующие оценки, и в любых последующих периодах, которые они затрагивают.</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Влияние бухгалтерских оценок и допущений на признанные активы и обязательства, показатели бухгалтерской (финансовой) отчетности, на суммы которых бухгалтерские оценки и допущения оказывают существенное влияние</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Существенных неопределенных оценок и критических мотивированных суждений при применении положений учетной политики Обществом не принималось.</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Подходы к оценке финансовых инструментов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Руководствуясь утвержденными бизнес-моделями, инвестиционной политикой и политикой управления рисками Общество оценивает свои финансовые инструменты в соответствии с положениями МСФО (IFRS) 9.</w:t>
            </w:r>
            <w:r>
              <w:rPr>
                <w:rFonts w:ascii="Arial" w:hAnsi="Arial"/>
                <w:sz w:val="18"/>
                <w:szCs w:val="18"/>
              </w:rPr>
              <w:br/>
              <w:t xml:space="preserve">При первоначальном признании Общество оценивает финансовые инструменты по справедливой стоимости в соответствии с требованиями МСФО (IFRS) 13. Лучшим свидетельством справедливой стоимости финансового инструмента при первоначальном признании обычно является цена сделки, то есть справедливая стоимость выплаченного или полученного возмещения.  Финансовые активы, которые в момент первоначального признания, отнесены в категорию оцениваемых по справедливой стоимости, изменения которой отражаются в составе прибыли или убытка за период, не </w:t>
            </w:r>
            <w:proofErr w:type="spellStart"/>
            <w:r>
              <w:rPr>
                <w:rFonts w:ascii="Arial" w:hAnsi="Arial"/>
                <w:sz w:val="18"/>
                <w:szCs w:val="18"/>
              </w:rPr>
              <w:t>реклассифицируются</w:t>
            </w:r>
            <w:proofErr w:type="spellEnd"/>
            <w:r>
              <w:rPr>
                <w:rFonts w:ascii="Arial" w:hAnsi="Arial"/>
                <w:sz w:val="18"/>
                <w:szCs w:val="18"/>
              </w:rPr>
              <w:t xml:space="preserve"> из данной категории.</w:t>
            </w:r>
            <w:r>
              <w:rPr>
                <w:rFonts w:ascii="Arial" w:hAnsi="Arial"/>
                <w:sz w:val="18"/>
                <w:szCs w:val="18"/>
              </w:rPr>
              <w:br/>
              <w:t>Вложения в дочерние компании, а также в компании, на деятельность которых Общество оказывает значительное влияние, учитываются по первоначальной стоимости в размере фактических затрат на их приобретение, и не подлежат последующей переоценке после первоначального признания.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Переоценка активов и обязательств, выраженных в иностранной валюте</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Денежные активы и обязательства, выраженные в иностранных валютах, отличных от функциональной валюты, пересчитываются в рубли по официальному курсу Банка России, действовавшему на конец отчетного периода. Доходы и расходы (положительные и отрицательные курсовые разницы) от расчетов по операциям в иностранных валютах и от пересчета денежных активов и обязательств в функциональную валюту по обменному курсу Банка России на конец отчетного периода отражаются на счетах прибылей и убытков. </w:t>
            </w:r>
            <w:proofErr w:type="spellStart"/>
            <w:r>
              <w:rPr>
                <w:rFonts w:ascii="Arial" w:hAnsi="Arial"/>
                <w:sz w:val="18"/>
                <w:szCs w:val="18"/>
              </w:rPr>
              <w:t>Неденежные</w:t>
            </w:r>
            <w:proofErr w:type="spellEnd"/>
            <w:r>
              <w:rPr>
                <w:rFonts w:ascii="Arial" w:hAnsi="Arial"/>
                <w:sz w:val="18"/>
                <w:szCs w:val="18"/>
              </w:rPr>
              <w:t xml:space="preserve"> активы и обязательства, выраженные в иностранной валюте, оцениваемые по справедливой стоимости, переводятся в функциональную валюту по валютным курсам, действовавшим на даты определения справедливой стоимости. </w:t>
            </w:r>
            <w:proofErr w:type="spellStart"/>
            <w:r>
              <w:rPr>
                <w:rFonts w:ascii="Arial" w:hAnsi="Arial"/>
                <w:sz w:val="18"/>
                <w:szCs w:val="18"/>
              </w:rPr>
              <w:t>Неденежные</w:t>
            </w:r>
            <w:proofErr w:type="spellEnd"/>
            <w:r>
              <w:rPr>
                <w:rFonts w:ascii="Arial" w:hAnsi="Arial"/>
                <w:sz w:val="18"/>
                <w:szCs w:val="18"/>
              </w:rPr>
              <w:t xml:space="preserve"> активы и обязательства, выраженные в иностранной валюте и отраженные по фактическим затратам, переводятся в функциональную валюту по валютному курсу, действовавшему на дату совершения операции. Чистая прибыль от операций с иностранной валютой включает реализованный результат от валютно-обменных операций и комиссию за проведение операций с иностранной валютой.</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Допущение о непрерывности деятельности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Данная бухгалтерская (финансовая) отчетность составлена на основе допущения руководства, что Общество сможет непрерывно продолжать свою деятельность в обозримом будущем.</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Информация в отношении пересчета показателей с учетом изменений общей покупательной способности рубля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Показатели предыдущих периодов не пересчитывались в связи с тем, что на основании профессионального суждения Общества изменение покупательской способности рубля за анализируемый период было признано нематериальным и не оказывающим влияние на достоверность данных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II. Изменения в учетной политике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Описание изменений учетной политики, их причин и характера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анализируемом периоде изменения в Учетную политику Общества не вносились.</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Причины и характер предстоящих изменений в учетной политике, предполагаемое влияние на бухгалтерскую (финансовую) отчетность или указание на то, что такое влияние не может быть обоснованно оценено</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Опубликован ряд новых стандартов и интерпретаций, которые являются обязательными для годовых периодов, начинающихся 1 января 2025 года или после этой даты. Общество намерено принять стандарты и поправки к использованию после их вступления в силу.</w:t>
            </w:r>
            <w:r>
              <w:rPr>
                <w:rFonts w:ascii="Arial" w:hAnsi="Arial"/>
                <w:sz w:val="18"/>
                <w:szCs w:val="18"/>
              </w:rPr>
              <w:br/>
              <w:t>• Отсутствие возможности обмена валют. Поправки к МСФО (IAS) 21 «Влияние изменений валютных курсов» (выпущены 15 августа 2023 г. и вступают в силу для годовых периодов, начинающихся 1 января 2025 г. или после этой даты). Поправки к МСФО (IAS) 21 содержат требования, которые призваны содействовать организациям при определении того, возможна ли конвертация одной валюты в другую валюту, а также текущего обменного курса, который следует использовать, когда конвертация не возможна. Поправки к МСФО (IAS) 21 устанавливают основные принципы, в соответствии с которыми организация может оценить возможности обмена между двумя валютами на определенную дату для определенной цели и определить оценку текущего обменного курса на дату оценки в ситуации отсутствия конвертируемости. Общество проводит оценку того, как данные поправки повлияют на бухгалтерскую (финансовую) отчетность.</w:t>
            </w:r>
            <w:r>
              <w:rPr>
                <w:rFonts w:ascii="Arial" w:hAnsi="Arial"/>
                <w:sz w:val="18"/>
                <w:szCs w:val="18"/>
              </w:rPr>
              <w:br/>
              <w:t>• МСФО (IFRS) 18 «Представление и раскрытия в финансовой отчетности» (выпущен 9 апреля 2024 г. и вступают в силу для годовых периодов, начинающихся 1 января 2027 г. или после этой даты). МСФО (IFRS) 18 заменяет МСФО (IAS) 1. Многие требования МСФО (IAS) 1 в новом стандарте сохранены без изменений. Новый стандарт вводит три получившие определение категории доходов и расходов в отчете о прибыли или убытке (операционную, инвестиционную и финансовую), и требует предоставления новых определенных стандартом промежуточных итогов, которые включают показатели операционной прибыли и прибыли до вычета финансовых доходов и расходов, и налогов на прибыль. Общество проводит оценку того, как данные поправки повлияют на бухгалтерскую (финансовую) отчетность.</w:t>
            </w:r>
            <w:r>
              <w:rPr>
                <w:rFonts w:ascii="Arial" w:hAnsi="Arial"/>
                <w:sz w:val="18"/>
                <w:szCs w:val="18"/>
              </w:rPr>
              <w:br/>
              <w:t>• МСФО (IFRS) 19 «Дочерние организации без обязанности отчитываться публично: раскрытие информации» (выпущен 9 мая 2024 г. и вступает в силу для годовых периодов, начинающихся 1 января 2027 г. или после этой даты). Стандарт является добровольным и позволяет соответствующим определенным требованиям дочерним организациям применять МСФО стандарты финансовой отчетности с сокращенным раскрытием информации. Дочерние организации имеют право применять МСФО (IFRS) 19, если у них нет обязанности отчитываться публично, и их конечная или непосредственная материнская организация готовит консолидированную финансовую отчетность, которая находится в общем доступе и соответствует стандартам финансовой отчетности МСФО. У дочерней организации нет обязанности отчитываться публично, если ее долевые или долговые инструменты не котируются на фондовой бирже, и она не удерживает активы в качестве доверенного лица широкого круга сторонних лиц. В соответствии с МСФО (IFRS) 19 таким дочерним организациям для цели выпуска собственной финансовой отчетности разрешается использовать МСФО для малых и средних организаций или национальные стандарты бухгалтерского учета. Такие дочерние организации применяют требования других стандартов финансовой отчетности МСФО за исключением требований к раскрытию информации, вместо которых применяются требования к раскрытию, содержащиеся в МСФО (IFRS) 19. Общество проводит оценку того, как данные поправки повлияют на бухгалтерскую (финансовую) отчетность.</w:t>
            </w:r>
            <w:r>
              <w:rPr>
                <w:rFonts w:ascii="Arial" w:hAnsi="Arial"/>
                <w:sz w:val="18"/>
                <w:szCs w:val="18"/>
              </w:rPr>
              <w:br/>
              <w:t>• Поправки к классификации и оценке финансовых инструментов – Поправки к МСФО (IFRS) 9 и МСФО (IFRS) 7 (выпущены 30 мая 2024 г. и вступают в силу для годовых периодов, начинающихся 1 января 2026 г. или после этой даты). Поправки разъясняют, каким образом следует оценивать предусмотренные договором денежные потоки по финансовым активам, особенности которых связаны с экологическими, социальными критериями и критериями корпоративного управления (ESG) и аналогичными характеристиками, и, следовательно, как следует оценивать эти активы: по амортизированной стоимости или по справедливой стоимости. Общество проводит оценку того, как данные поправки повлияют на бухгалтерскую (финансовую) отчетность.</w:t>
            </w:r>
            <w:r>
              <w:rPr>
                <w:rFonts w:ascii="Arial" w:hAnsi="Arial"/>
                <w:sz w:val="18"/>
                <w:szCs w:val="18"/>
              </w:rPr>
              <w:br/>
            </w:r>
            <w:r>
              <w:rPr>
                <w:rFonts w:ascii="Arial" w:hAnsi="Arial"/>
                <w:sz w:val="18"/>
                <w:szCs w:val="18"/>
              </w:rPr>
              <w:br/>
              <w:t xml:space="preserve">• Ежегодные усовершенствования МСФО – Поправки к МСФО (IFRS) 1, МСФО (IFRS) 7, МСФО (IFRS) 9, МСФО (IFRS) 10 и МСФО (IAS) 7 (выпущены 18 июля 2024 г. и вступают в силу для годовых периодов, начинающихся 1 января 2026 г. или после этой даты). Поправки к МСФО (IFRS) 1 касаются исключения из ретроспективного применения других стандартов МСФО в части учета хеджирования организациями, переходящими на МСФО, и устранили незначительные несоответствия с МСФО (IFRS) 9. Поправки к МСФО (IFRS) 7 в отношении требований о раскрытии информации о прибыли или убытке от прекращения признания применительно к финансовым активам, в которых организация имеет продолжающееся участие, уточняют, что организация также должна раскрывать информацию о том, включала ли оценка справедливой стоимости существенные ненаблюдаемые исходные данные и содержат отсылку на МСФО (IFRS) 13. Поправки к Руководству по применению МСФО (IFRS) 7 касаются раскрытия информации об отложенной разнице между справедливой стоимостью и ценой сделки, а также раскрытия информации о кредитном риске, и устранили существовавшие ранее несоответствия с МСФО (IFRS) 9 и МСФО (IFRS) 13. Поправки к МСФО (IFRS) 9 касаются прекращения признания обязательств по аренде и оценки торговой дебиторской задолженности при первоначальном признании. Поправки разъясняют, что в случае прекращения признания обязательства по аренде в соответствии с руководством МСФО (IFRS) 9 арендатор должен применять требования МСФО (IFRS) 9 (в соответствии с которыми разница между балансовой стоимостью погашенного или переданного другой стороне финансового обязательства (или части финансового обязательства) и суммой выплаченного возмещения, включая переданные </w:t>
            </w:r>
            <w:proofErr w:type="spellStart"/>
            <w:r>
              <w:rPr>
                <w:rFonts w:ascii="Arial" w:hAnsi="Arial"/>
                <w:sz w:val="18"/>
                <w:szCs w:val="18"/>
              </w:rPr>
              <w:t>неденежные</w:t>
            </w:r>
            <w:proofErr w:type="spellEnd"/>
            <w:r>
              <w:rPr>
                <w:rFonts w:ascii="Arial" w:hAnsi="Arial"/>
                <w:sz w:val="18"/>
                <w:szCs w:val="18"/>
              </w:rPr>
              <w:t xml:space="preserve"> активы или принятые на себя обязательства, должна быть признана в составе прибыли или убытка) с отражением любой возникшей прибыли или убытка в составе прибыли или убытка. В соответствии с поправками, при первоначальном признании организация должна оценивать торговую дебиторскую задолженность в сумме, определенной на основе МСФО (IFRS) 15, если торговая дебиторская задолженность не содержит значительного финансового компонента в соответствии с руководством МСФО (IFRS) 15 (или если организация применяет практическое упрощение на основе МСФО (IFRS) 15). Поправки к МСФО (IFRS) 10 уточняют определение «агента де-факто». Сторона является агентом де-факто, когда инвестор способен направить эту сторону действовать в своих интересах. Сторона также может быть агентом де-факто, если те, кто направляют деятельность инвестора, способны направить эту сторону действовать в интересах инвестора. Поправки к МСФО (IAS) 7 уточняют наименование методов учета дочерних организаций, ассоциированных организаций и совместных предприятий. Общество проводит оценку того, как данные поправки повлияют на бухгалтерскую (финансовую) отчетность.</w:t>
            </w:r>
            <w:r>
              <w:rPr>
                <w:rFonts w:ascii="Arial" w:hAnsi="Arial"/>
                <w:sz w:val="18"/>
                <w:szCs w:val="18"/>
              </w:rPr>
              <w:br/>
              <w:t>• Поправки к МСФО (IFRS) 10 и МСФО (IAS) 28 – «Продажа или взнос активов в сделках между инвестором и его ассоциированной организацией или совместным предприятием» (выпущены 11 сентября 2014 года и вступают в силу для годовых периодов, начинающихся с даты, которая будет определена Советом по МСФО, или после этой даты). Данные поправки устраняют несоответствие между требованиями МСФО (IFRS) 10 и МСФО (IAS) 28, касающимися продажи или взноса активов в ассоциированную организацию или совместное предприятие инвестором. Основное последствие применения поправок заключается в том, что прибыль или убыток признаются в полном объеме в том случае, если сделка касается бизнеса. Если активы не представляют собой бизнес, даже если этими активами владеет дочерняя организация, признается только часть прибыли или убытка. Общество проводит оценку того, как данные поправки повлияют на бухгалтерскую (финансовую) отчетность.</w:t>
            </w:r>
            <w:r>
              <w:rPr>
                <w:rFonts w:ascii="Arial" w:hAnsi="Arial"/>
                <w:sz w:val="18"/>
                <w:szCs w:val="18"/>
              </w:rPr>
              <w:br/>
              <w:t>Документы в области регулирования бухгалтерского учета, иные чем МСФО,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Федеральные стандарты бухгалтерского учета (ФСБУ) и Отраслевые стандарты бухгалтерского учета (ОСБУ).</w:t>
            </w:r>
            <w:r>
              <w:rPr>
                <w:rFonts w:ascii="Arial" w:hAnsi="Arial"/>
                <w:sz w:val="18"/>
                <w:szCs w:val="18"/>
              </w:rPr>
              <w:br/>
              <w:t>• ФСБУ 28/2023 «Инвентаризация» (утвержден в 2023 году, применяется с 1 апреля 2025 года). Стандарт устанавливает обязательные требования к проведению инвентаризации. Общество не ожидает, что применение данного ФСБУ окажет существенное влияние на ее бухгалтерскую (финансовую) отчетность.</w:t>
            </w:r>
            <w:r>
              <w:rPr>
                <w:rFonts w:ascii="Arial" w:hAnsi="Arial"/>
                <w:sz w:val="18"/>
                <w:szCs w:val="18"/>
              </w:rPr>
              <w:br/>
              <w:t>• Положения Банка России № 726-П (утверждено в 2020 году) и 803-П (утверждено в 2022 году вступают в силу с 01.01.2025 года. Данные нормативные акты разработаны в связи с применением с 01.01.2025 года МСФО (IFRS) 17 «Договоры страхования» и вводят новый порядок отражения операций на счетах бухгалтерского учета, а также устанавливают формы раскрытия информации в бухгалтерской (финансовой) отчетности страховых организаций. Общество полагает, что новые положения не окажут существенное влияние на ее бухгалтерскую (финансовую) отчетность.</w:t>
            </w:r>
          </w:p>
        </w:tc>
      </w:tr>
    </w:tbl>
    <w:p w:rsidR="00716B8B" w:rsidRDefault="005D4FA8">
      <w:r>
        <w:lastRenderedPageBreak/>
        <w:br w:type="page"/>
      </w: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III. Принципы учетной политики. Критерии признания и база оценки финансовых инструментов</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Критерии признания и база оценки денежных средств. Компоненты денежных средств и их эквивалентов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Классификация активов Общества в категорию денежных средств и их эквивалентов осуществляется в соответствии с МСФО (IAS) 7. В категорию денежных средств и их эквивалентов Обществом классифицируются следующие активы: денежные средства на расчетных счетах, МНО, срок размещения которых составляет менее 90 календарных дней. Не включаются в категорию денежных средств и их эквивалентов следующие активы: денежные средства, размещенные по договору на поддержание минимального неснижаемого остатка (МНО) по расчетному счету, срок действия которого составляет более 90 календарных дней (в целях составления отчетности указанные активы отражаются в составе депозитов и прочих размещенных средств в кредитных организациях и банках-нерезидентах), Денежные средства и их эквиваленты оцениваются по амортизированной стоимости. В соответствии учетной политикой Общество ежеквартально формирует и пересматривает резерв под обесценение денежных средств и их эквивалентов.</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Критерии признания и база оценки средств, размещенных в кредитных организациях и банках-нерезидентах</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При первоначальном признании депозиты и прочие размещенные средства в кредитных организациях и банках-нерезидентах оцениваются по справедливой  стоимости. Справедливой стоимостью депозитов в кредитных организациях является сумма </w:t>
            </w:r>
            <w:proofErr w:type="spellStart"/>
            <w:proofErr w:type="gramStart"/>
            <w:r>
              <w:rPr>
                <w:rFonts w:ascii="Arial" w:hAnsi="Arial"/>
                <w:sz w:val="18"/>
                <w:szCs w:val="18"/>
              </w:rPr>
              <w:t>договора.В</w:t>
            </w:r>
            <w:proofErr w:type="spellEnd"/>
            <w:proofErr w:type="gramEnd"/>
            <w:r>
              <w:rPr>
                <w:rFonts w:ascii="Arial" w:hAnsi="Arial"/>
                <w:sz w:val="18"/>
                <w:szCs w:val="18"/>
              </w:rPr>
              <w:t xml:space="preserve"> качестве рыночной процентной ставки Общество использует следующие процентные ставки:• по договорам банковского вклада средневзвешенные процентные ставки по привлеченным кредитными организациями депозитам от нефинансовых организаций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w:t>
            </w:r>
            <w:proofErr w:type="gramStart"/>
            <w:r>
              <w:rPr>
                <w:rFonts w:ascii="Arial" w:hAnsi="Arial"/>
                <w:sz w:val="18"/>
                <w:szCs w:val="18"/>
              </w:rPr>
              <w:t>).•</w:t>
            </w:r>
            <w:proofErr w:type="gramEnd"/>
            <w:r>
              <w:rPr>
                <w:rFonts w:ascii="Arial" w:hAnsi="Arial"/>
                <w:sz w:val="18"/>
                <w:szCs w:val="18"/>
              </w:rPr>
              <w:t xml:space="preserve"> по договорам займа средневзвешенные процентные ставки по предоставленным кредитными организациями кредитам нефинансовым организациям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 при отсутствии на дату определения рыночной процентной ставки статистических данных Банка России, за рыночную ставку принимаются процентные ставки за последний месяц, по которому имеется доступная </w:t>
            </w:r>
            <w:proofErr w:type="spellStart"/>
            <w:r>
              <w:rPr>
                <w:rFonts w:ascii="Arial" w:hAnsi="Arial"/>
                <w:sz w:val="18"/>
                <w:szCs w:val="18"/>
              </w:rPr>
              <w:t>информацияПо</w:t>
            </w:r>
            <w:proofErr w:type="spellEnd"/>
            <w:r>
              <w:rPr>
                <w:rFonts w:ascii="Arial" w:hAnsi="Arial"/>
                <w:sz w:val="18"/>
                <w:szCs w:val="18"/>
              </w:rPr>
              <w:t xml:space="preserve"> договорам займа и договорам банковского вклада дисконтирование (метод ЭСП) не применяется Обществом в следующих случаях:• по договорам займа и договорам банковского вклада, срок действия которых менее одного года при их первоначальном признании, включая займы и банковские вклады, дата погашения которых приходится на другой отчетный год, и если разница между амортизированной стоимостью, рассчитанной с использованием метода ЭСП, и амортизированной стоимостью, рассчитанной с использованием линейного метода признания процентного дохода, несущественна - не превышает 5%; • по договорам банковского вклада сроком «до востребования»;• по пролонгированным на аналогичный срок (до 12 месяцев) краткосрочным на дату первоначального признания договорам займа и банковского вклада, по которым ранее не применялся метод </w:t>
            </w:r>
            <w:proofErr w:type="spellStart"/>
            <w:r>
              <w:rPr>
                <w:rFonts w:ascii="Arial" w:hAnsi="Arial"/>
                <w:sz w:val="18"/>
                <w:szCs w:val="18"/>
              </w:rPr>
              <w:t>ЭСП.Общество</w:t>
            </w:r>
            <w:proofErr w:type="spellEnd"/>
            <w:r>
              <w:rPr>
                <w:rFonts w:ascii="Arial" w:hAnsi="Arial"/>
                <w:sz w:val="18"/>
                <w:szCs w:val="18"/>
              </w:rPr>
              <w:t xml:space="preserve"> формирует резерв под обесценение депозитов и прочих размещенных средствах в кредитных организациях ежеквартально.</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финансовых активов, оцениваемых по справедливой стоимости через прибыль или убыток</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активы, учитываемые по справедливой стоимости через прибыль и убыток.</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финансовых активов, оцениваемых по справедливой стоимости через прочий совокупный доход</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активы, учитываемые по справедливой стоимости через прочий совокупный доход.</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финансовых активов, оцениваемых по амортизированной стоимости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Финансовыми активами, оцениваемыми по амортизированной стоимости Общество признает инвестиции, удерживаемые до срока погашения, которые представляют собой непроизводные финансовые активы с фиксированными или определенными платежами и фиксированным сроком погашения, которые Общество намерено и </w:t>
            </w:r>
            <w:proofErr w:type="spellStart"/>
            <w:r>
              <w:rPr>
                <w:rFonts w:ascii="Arial" w:hAnsi="Arial"/>
                <w:sz w:val="18"/>
                <w:szCs w:val="18"/>
              </w:rPr>
              <w:t>способено</w:t>
            </w:r>
            <w:proofErr w:type="spellEnd"/>
            <w:r>
              <w:rPr>
                <w:rFonts w:ascii="Arial" w:hAnsi="Arial"/>
                <w:sz w:val="18"/>
                <w:szCs w:val="18"/>
              </w:rPr>
              <w:t xml:space="preserve"> удерживать до наступления срока погашения, за исключением тех, которые:- соответствуют определению депозитов и дебиторской </w:t>
            </w:r>
            <w:proofErr w:type="spellStart"/>
            <w:r>
              <w:rPr>
                <w:rFonts w:ascii="Arial" w:hAnsi="Arial"/>
                <w:sz w:val="18"/>
                <w:szCs w:val="18"/>
              </w:rPr>
              <w:t>задолженности.Амортизированной</w:t>
            </w:r>
            <w:proofErr w:type="spellEnd"/>
            <w:r>
              <w:rPr>
                <w:rFonts w:ascii="Arial" w:hAnsi="Arial"/>
                <w:sz w:val="18"/>
                <w:szCs w:val="18"/>
              </w:rPr>
              <w:t xml:space="preserve"> стоимостью депозитов, признается сумма, в которой денежные средства оцениваются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(далее – ЭСП) амортизации разницы между первоначальной стоимостью и суммой погашения, а также за вычетом суммы созданного резерва под обесценение. Последующая оценка финансовых активов, квалифицированных как оцениваемые по амортизированной стоимости по срокам выдачи более 1 года осуществляется с использованием метода эффективной ставки процента. По депозитам, размещенным на срок меньше 1 года, процентный доход рассчитывается с применением номинальной ставки, установленной в договоре.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инвестиций в дочерние и ассоциированные организации, совместные предприятия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инвестиций в дочерние, совместно контролируемые и ассоциированные предприятия.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прочих финансовых активов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Прочие активы учитываются по первоначальной стоимости в размере фактических затрат на их приобретение и не подлежат последующей переоценке по справедливой стоимости после их первоначального признания.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финансовых обязательств, оцениваемых по справедливой стоимости через прибыль или убыток</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обязательства, учитываемые по справедливой стоимости через прибыль и убыток</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финансовых обязательств, оцениваемых по амортизированной стоимости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После первоначального признания Общество учитывает все финансовые обязательства по амортизированной стоимости. Под амортизированной стоимостью финансового обязательства понимается величина, по которой финансовое обязательство оценивается при первоначальном признании, за вычетом выплат в погашения финансового </w:t>
            </w:r>
            <w:proofErr w:type="spellStart"/>
            <w:r>
              <w:rPr>
                <w:rFonts w:ascii="Arial" w:hAnsi="Arial"/>
                <w:sz w:val="18"/>
                <w:szCs w:val="18"/>
              </w:rPr>
              <w:t>обязательства.Обязательства</w:t>
            </w:r>
            <w:proofErr w:type="spellEnd"/>
            <w:r>
              <w:rPr>
                <w:rFonts w:ascii="Arial" w:hAnsi="Arial"/>
                <w:sz w:val="18"/>
                <w:szCs w:val="18"/>
              </w:rPr>
              <w:t xml:space="preserve"> Общества не подлежат </w:t>
            </w:r>
            <w:proofErr w:type="spellStart"/>
            <w:r>
              <w:rPr>
                <w:rFonts w:ascii="Arial" w:hAnsi="Arial"/>
                <w:sz w:val="18"/>
                <w:szCs w:val="18"/>
              </w:rPr>
              <w:t>реклассификации</w:t>
            </w:r>
            <w:proofErr w:type="spellEnd"/>
            <w:r>
              <w:rPr>
                <w:rFonts w:ascii="Arial" w:hAnsi="Arial"/>
                <w:sz w:val="18"/>
                <w:szCs w:val="18"/>
              </w:rPr>
              <w:t>.</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проведения взаимозачетов финансовых активов и финансовых обязательств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Финансовые активы и обязательства </w:t>
            </w:r>
            <w:proofErr w:type="spellStart"/>
            <w:r>
              <w:rPr>
                <w:rFonts w:ascii="Arial" w:hAnsi="Arial"/>
                <w:sz w:val="18"/>
                <w:szCs w:val="18"/>
              </w:rPr>
              <w:t>взаимозачитываются</w:t>
            </w:r>
            <w:proofErr w:type="spellEnd"/>
            <w:r>
              <w:rPr>
                <w:rFonts w:ascii="Arial" w:hAnsi="Arial"/>
                <w:sz w:val="18"/>
                <w:szCs w:val="18"/>
              </w:rPr>
              <w:t xml:space="preserve"> и в отчете о финансовом положении отражается чистая величина только в тех случаях, когда существует законодательно установленное право произвести взаимозачет отраженных сумм, а также намерение либо произвести взаимозачет, либо одновременно реализовать актив и урегулировать обязательство.</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IV. Порядок признания и последующего учета хеджирования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19</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Хеджирование денежных потоков (описание типа хеджирования, характер хеджируемых рисков, описание финансовых инструментов, признанных инструментами хеджирования)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не проводит операций хеджирования.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20</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Хеджирование справедливой стоимости (описание типа хеджирования, характер хеджируемых рисков, описание финансовых инструментов, признанных инструментами хеджирования)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не проводит операций хеджирования.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Хеджирование чистых инвестиций в иностранные подразделения (описание типа хеджирования, характер хеджируемых рисков, описание финансовых инструментов, признанных инструментами хеджирования)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не проводит операций хеджирования.</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V. Критерии признания и база оценки инвестиционного имущества</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Применяемая модель учета инвестиционного имущества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операции с инвестиционным имуществом</w:t>
            </w:r>
          </w:p>
        </w:tc>
      </w:tr>
    </w:tbl>
    <w:p w:rsidR="00716B8B" w:rsidRDefault="005D4FA8">
      <w:r>
        <w:br w:type="page"/>
      </w: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Критерии, используемые организацией в целях проведения различия между инвестиционным имуществом и объектами собственности, занимаемыми организацией, а также имуществом, предназначенным для продажи в ходе обычной деятельности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операции с инвестиционным имуществом</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опытом проведения оценки сопоставимых объектов оценки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отсутствуют операции с инвестиционным имуществом</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VI. Критерии признания и база оценки основных средств</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Критерии признания, способы, используемые для оценки основных средств (для каждой группы основных средств)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Объекты основных средств Общества оцениваются по первоначальной стоимости за вычетом амортизации и накопленных убытков от обесценения.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Способ переноса прироста стоимости основных средств при переоценке, признанного в составе капитала (накопленной </w:t>
            </w:r>
            <w:proofErr w:type="spellStart"/>
            <w:r>
              <w:rPr>
                <w:rFonts w:ascii="Arial" w:hAnsi="Arial"/>
                <w:sz w:val="18"/>
                <w:szCs w:val="18"/>
              </w:rPr>
              <w:t>дооценки</w:t>
            </w:r>
            <w:proofErr w:type="spellEnd"/>
            <w:r>
              <w:rPr>
                <w:rFonts w:ascii="Arial" w:hAnsi="Arial"/>
                <w:sz w:val="18"/>
                <w:szCs w:val="18"/>
              </w:rPr>
              <w:t>), на нераспределенную прибыль</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Применяемые методы амортизации и порядок оценки ликвидационной стоимости (для каждой группы основных средств) и их изменения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 Обществе применяется линейный способ начисления амортизации по всем группам основных средств.</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28</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Применяемые сроки полезного использования (для каждой группы основных средств) и их изменения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Срок полезного использования объектов основных средств определяется на дату ввода их в эксплуатацию (дату готовности к использованию основного средства) на основе Классификации основных средств, утвержденной Постановлением Правительства РФ от 01.01.2002 № 1 (ред. от 07.07.2016) и профессионального суждения о предполагаемом сроке использования объекта основных средств. Срок полезного использования устанавливается в месяцах и пересчитывается в фактические календарные дни. Срок полезного использования начинается с даты, следующей за датой признания объекта готовым к использованию (ст.191 ГК РФ).</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VII. Критерии признания и база оценки нематериальных активов</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29</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Критерии признания нематериальных активов (для каждой группы нематериальных активов)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Нематериальным активом (далее - НМА) признается объект, одновременно удовлетворяющий следующим условиям: объект способен приносить экономические выгоды в будущем, в частности, объект предназначен для использования при выполнении работ, оказании услуг либо в административных целях или для управленческих нужд;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быль подтверждено наличием надлежаще оформленных документов, подтверждающих существование самого актива и права Общества на результаты интеллектуальной деятельности или приравненные к ним средства индивидуализации (далее -средства индивидуализации); имеются ограничения доступа иных лиц к экономическим выгодам от использования объекта (Общество имеет контроль над объектом); объект может быть идентифицирован (возможность выделения или отделения от других активов); объект предназначен для использования в течение более чем 12 месяцев; объект не имеет    материально-вещественной формы; первоначальная стоимость объекта может быть надежно определена. Минимальная стоимость объекта учета, подлежащего признанию в качестве нематериального актива, составляет 100 000 руб. К нематериальным активам относятся, в том числе следующие активы: лицензии на программные продукты (права пользования программными продуктами); программное обеспечение (в том числе, на которое Общество не обладает исключительными правами), расхода на его внедрение; создание баз данных, сайтов и т.п.</w:t>
            </w:r>
          </w:p>
        </w:tc>
      </w:tr>
    </w:tbl>
    <w:p w:rsidR="00716B8B" w:rsidRDefault="005D4FA8">
      <w:r>
        <w:br w:type="page"/>
      </w: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5385"/>
      </w:tblGrid>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30</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Способы, используемые для оценки приобретенных и самостоятельно созданных нематериальных активов (для каждой группы нематериальных активов)</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Нематериальные активы Общества оцениваются по первоначальной стоимости за вычетом амортизации и накопленных убытков от обесценения.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Способ переноса прироста стоимости нематериальных активов при переоценке, признанного в составе капитала (накопленной </w:t>
            </w:r>
            <w:proofErr w:type="spellStart"/>
            <w:r>
              <w:rPr>
                <w:rFonts w:ascii="Arial" w:hAnsi="Arial"/>
                <w:sz w:val="18"/>
                <w:szCs w:val="18"/>
              </w:rPr>
              <w:t>дооценки</w:t>
            </w:r>
            <w:proofErr w:type="spellEnd"/>
            <w:r>
              <w:rPr>
                <w:rFonts w:ascii="Arial" w:hAnsi="Arial"/>
                <w:sz w:val="18"/>
                <w:szCs w:val="18"/>
              </w:rPr>
              <w:t>), на нераспределенную прибыль</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Неприменимо</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Раскрытие для каждой группы нематериальных активов с неопределенным сроком полезного использования факта ежегодного тестирования на обесценение, информации о наличии возможных признаков обесценения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 нематериальным активам с неопределенным сроком полезного использования амортизация не начисляется. Проверка на обесценение таких активов включает в себя выявление следующих признаков возможного обесценения: существуют признаки устаревания; простои актива (неиспользования); планы по прекращению или реструктуризации деятельности, к которой используется актив. При наличии признаков возможного обесценения актива Общество определяет возмещаемую стоимость НМА как справедливую стоимость за вычетом затрат на выбытие или ценность использования в зависимости от того, которая из данных величин больше. В случае если возмещаемая стоимость НМА меньше балансовой стоимости этого НМА, балансовая стоимость НМА уменьшается до его возмещаемой стоимости. Такое уменьшение является убытком от обесценения.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Применяемые сроки полезного использования и методы амортизации для нематериальных активов с ограниченным сроком полезного использования, порядок оценки ликвидационной стоимости и их изменения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В Обществе применяется линейный способ начисления амортизации по всем нематериальным активам с ограниченным сроком использования. Срок полезного использования нематериальных активов определяется Обществом в месяцах на дату признания нематериального актива (передачи нематериального актива для использования в соответствии с намерениями руководства </w:t>
            </w:r>
            <w:proofErr w:type="spellStart"/>
            <w:r>
              <w:rPr>
                <w:rFonts w:ascii="Arial" w:hAnsi="Arial"/>
                <w:sz w:val="18"/>
                <w:szCs w:val="18"/>
              </w:rPr>
              <w:t>некредитной</w:t>
            </w:r>
            <w:proofErr w:type="spellEnd"/>
            <w:r>
              <w:rPr>
                <w:rFonts w:ascii="Arial" w:hAnsi="Arial"/>
                <w:sz w:val="18"/>
                <w:szCs w:val="18"/>
              </w:rPr>
              <w:t xml:space="preserve"> финансовой организации) исходя из: срока действия прав Общества на результат интеллектуальной деятельности или средство индивидуализации и периода контроля над нематериальным активом; ожидаемого срока использования нематериального актива, в течение которого Общество предполагает получать экономические выгоды.</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учета затрат на создание нематериальных активов собственными силами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Затраты, произведенные Обществом на стадии исследований при создании нематериального актива, не подлежат признанию в составе первоначальной стоимости нематериального актива, а признаются в качестве расходов на дату их возникновения. Затраты Общества на стадии разработки нематериального актива подлежат признанию в составе первоначальной стоимости нематериального актива при следующих условиях; Общество намерено завершить создание нематериального актива и использовать его в своей деятельности; нематериальный актив будет создавать будущие экономические выгоды; Общество располагает ресурсами (техническими, финансовыми, прочими) для завершения разработки и использования нематериального актива; Общество может продемонстрировать техническую осуществимость завершения создания нематериального актива; Общество способно надежно оценить затраты, относящиеся к нематериальному активу в процессе его разработки.</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VIII. Порядок признания и последующего учета вознаграждений работникам и связанных с ними отчислений</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выходных пособий</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Вознаграждения работникам включают следующие виды: краткосрочные вознаграждения работникам. При признании обязательств по выплате краткосрочных вознаграждений работникам Общества одновременно признаются обязательства по оплате страховых взносов, которые возникают (возникнут) при фактическом исполнении обязательств по выплате вознаграждений работникам в соответствии с законодательством Российской Федерации. Начисление обязательств по оплате ежегодного оплачиваемого отпуска, в том числе обязательств по оплате взносов на социальное страхование, производится ежеквартально на последний календарный день месяца.   Обязательства по выплате вознаграждений работникам по окончании трудовой деятельности в виде единовременного пособия работникам, уволившимся по собственному желанию при выходе на пенсию признаются в сумме единовременного вознаграждения, подлежащего выплате работнику в соответствии с условиями Положения.</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Описание пенсионных планов с установленными выплатами, реализуемых организацией</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 применимо</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 применимо</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38</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отражения в бухгалтерской (финансовой) отчетности вознаграждений работникам по окончании трудовой деятельности, не ограниченных фиксируемыми платежами</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 применимо</w:t>
            </w:r>
          </w:p>
        </w:tc>
      </w:tr>
      <w:tr w:rsidR="00716B8B">
        <w:trPr>
          <w:cantSplit/>
        </w:trPr>
        <w:tc>
          <w:tcPr>
            <w:tcW w:w="135" w:type="dxa"/>
            <w:shd w:val="clear" w:color="auto" w:fill="auto"/>
            <w:vAlign w:val="center"/>
          </w:tcPr>
          <w:p w:rsidR="00716B8B" w:rsidRDefault="00716B8B">
            <w:pPr>
              <w:spacing w:after="0"/>
            </w:pPr>
          </w:p>
        </w:tc>
        <w:tc>
          <w:tcPr>
            <w:tcW w:w="1042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IX. Порядок признания и последующего учета договоров аренды</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39</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последующего учета, прекращения признания договоров аренды</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Учет договоров аренды осуществляется в соответствии с требованиями Положения Банка России от 22.03.2018 № 635-П «О порядке отражения на счетах бухгалтерского учета договоров аренды </w:t>
            </w:r>
            <w:proofErr w:type="spellStart"/>
            <w:r>
              <w:rPr>
                <w:rFonts w:ascii="Arial" w:hAnsi="Arial"/>
                <w:sz w:val="18"/>
                <w:szCs w:val="18"/>
              </w:rPr>
              <w:t>некредитными</w:t>
            </w:r>
            <w:proofErr w:type="spellEnd"/>
            <w:r>
              <w:rPr>
                <w:rFonts w:ascii="Arial" w:hAnsi="Arial"/>
                <w:sz w:val="18"/>
                <w:szCs w:val="18"/>
              </w:rPr>
              <w:t xml:space="preserve"> финансовыми организациями», Учетной политикой и МСФО (IAS) 16 «Аренда». Для проверки объекта аренды  по договору аренды на обесценение применяется МСФО (IAS) 36 «Обесценение активов». Актив в форме права пользования и обязательство по договору аренды признаются Обществом - арендатором на дату начала аренды. Срок аренды, используемый для расчета активов и обязательств по аренде офисных помещений, является оценочным параметром и при его пересмотре соответствующим образом будут скорректированы будущие денежные потоки, учитываемые при оценке обязательств по аренде, Арендные платежи дисконтируются с использованием процентной ставки, определяемой обслуживающим банком Общества, как ставки привлечения дополнительных заемных </w:t>
            </w:r>
            <w:proofErr w:type="spellStart"/>
            <w:r>
              <w:rPr>
                <w:rFonts w:ascii="Arial" w:hAnsi="Arial"/>
                <w:sz w:val="18"/>
                <w:szCs w:val="18"/>
              </w:rPr>
              <w:t>средств.При</w:t>
            </w:r>
            <w:proofErr w:type="spellEnd"/>
            <w:r>
              <w:rPr>
                <w:rFonts w:ascii="Arial" w:hAnsi="Arial"/>
                <w:sz w:val="18"/>
                <w:szCs w:val="18"/>
              </w:rPr>
              <w:t xml:space="preserve">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40</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Факт использования организацией - арендатором права не признавать активы в форме права пользования и обязательства по договорам аренды с описанием характера договоров аренды, в отношении которых указанное право применяется</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вправе принять решение о не признании  актива в форме права пользования и обязательства по аренде в отношении следующих позиций:</w:t>
            </w:r>
            <w:r>
              <w:rPr>
                <w:rFonts w:ascii="Arial" w:hAnsi="Arial"/>
                <w:sz w:val="18"/>
                <w:szCs w:val="18"/>
              </w:rPr>
              <w:br/>
              <w:t>- Договор аренды, по которому на дату начала аренды предусмотренный срок аренды составляет не более 12 месяцев</w:t>
            </w:r>
            <w:r>
              <w:rPr>
                <w:rFonts w:ascii="Arial" w:hAnsi="Arial"/>
                <w:sz w:val="18"/>
                <w:szCs w:val="18"/>
              </w:rPr>
              <w:br/>
              <w:t>- Аренда, в которой базовый актив имеет низкую стоимость, при этом под низкой стоимостью признается стоимость актива менее 300 000 руб. учитываемая на балансе арендодателя без учета амортизации или стоимость нового имущества имеющего аналогичные параметры</w:t>
            </w:r>
            <w:r>
              <w:rPr>
                <w:rFonts w:ascii="Arial" w:hAnsi="Arial"/>
                <w:sz w:val="18"/>
                <w:szCs w:val="18"/>
              </w:rPr>
              <w:br/>
              <w:t>В таком случае, Общество признает арендные платежи по такой аренде в качестве расхода линейным методом.</w:t>
            </w:r>
            <w:r>
              <w:rPr>
                <w:rFonts w:ascii="Arial" w:hAnsi="Arial"/>
                <w:sz w:val="18"/>
                <w:szCs w:val="18"/>
              </w:rPr>
              <w:br/>
              <w:t>В 1 квартале 2025 года такое решение не принималось.</w:t>
            </w: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расчета негарантированной ликвидационной стоимости предмета аренды</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Основание и порядок расчета процентной ставки по договору аренды</w:t>
            </w:r>
          </w:p>
        </w:tc>
        <w:tc>
          <w:tcPr>
            <w:tcW w:w="538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716B8B">
            <w:pPr>
              <w:spacing w:after="0"/>
              <w:ind w:left="105"/>
            </w:pPr>
          </w:p>
        </w:tc>
      </w:tr>
    </w:tbl>
    <w:p w:rsidR="00716B8B" w:rsidRDefault="005D4FA8">
      <w:r>
        <w:br w:type="page"/>
      </w:r>
    </w:p>
    <w:tbl>
      <w:tblPr>
        <w:tblW w:w="15600" w:type="dxa"/>
        <w:tblLayout w:type="fixed"/>
        <w:tblCellMar>
          <w:left w:w="0" w:type="dxa"/>
          <w:right w:w="0" w:type="dxa"/>
        </w:tblCellMar>
        <w:tblLook w:val="04A0" w:firstRow="1" w:lastRow="0" w:firstColumn="1" w:lastColumn="0" w:noHBand="0" w:noVBand="1"/>
      </w:tblPr>
      <w:tblGrid>
        <w:gridCol w:w="135"/>
        <w:gridCol w:w="735"/>
        <w:gridCol w:w="4305"/>
        <w:gridCol w:w="135"/>
        <w:gridCol w:w="840"/>
        <w:gridCol w:w="840"/>
        <w:gridCol w:w="1515"/>
        <w:gridCol w:w="240"/>
        <w:gridCol w:w="1815"/>
        <w:gridCol w:w="300"/>
        <w:gridCol w:w="435"/>
        <w:gridCol w:w="870"/>
        <w:gridCol w:w="1035"/>
        <w:gridCol w:w="2355"/>
        <w:gridCol w:w="45"/>
      </w:tblGrid>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Текстовое пояснение</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Допущения, использованные при определении переменных арендных платежей</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716B8B">
            <w:pPr>
              <w:spacing w:after="0"/>
              <w:ind w:left="105"/>
            </w:pP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1042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Раздел X. Критерии признания, база оценки и порядок учета других объектов бухгалтерского учета</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44</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активов (активов выбывающих групп), классифицированных как предназначенные для продажи</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долгосрочных активов, предназначенных для продажи, осуществляется в соответствии с МСФО (IFRS) 5, ОСБУ 492-П и Учетной политикой Общества.</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45</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запасов. Порядок учета запасов, предназначенных для управленческих нужд</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запасов, осуществляется в соответствии с МСФО (IFRS) 2, ОСБУ 492-П и Учетной политикой Общества.</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46</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резервов - оценочных обязательств</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последующего учета резервов - оценочных обязательств осуществляется в соответствии с МСФО (IAS) 37, ОСБУ 6889-П и Учетной политикой Общества.</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47</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последующего учета, прекращения признания кредиторской задолженности</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Кредиторская задолженность  учитывается по методу начисления и отражается по амортизированной стоимости, если иное не требуется в соответствии с МСФО (IFRS) 9.</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48</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оценки уставного и добавочного капитала</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Для целей бухгалтерской (финансовой) отчетности уставный капитал и нераспределенная прибыль Общества </w:t>
            </w:r>
            <w:proofErr w:type="spellStart"/>
            <w:r>
              <w:rPr>
                <w:rFonts w:ascii="Arial" w:hAnsi="Arial"/>
                <w:sz w:val="18"/>
                <w:szCs w:val="18"/>
              </w:rPr>
              <w:t>квалифицированны</w:t>
            </w:r>
            <w:proofErr w:type="spellEnd"/>
            <w:r>
              <w:rPr>
                <w:rFonts w:ascii="Arial" w:hAnsi="Arial"/>
                <w:sz w:val="18"/>
                <w:szCs w:val="18"/>
              </w:rPr>
              <w:t xml:space="preserve"> как элементы капитала. Уставный капитал был сформирован и оплачен за счет вклада участника  в российских рублях. Уставный капитал не дисконтируется и не подлежит переоценке.</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49</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оценки собственных акций (долей), принадлежащих обществу</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У Общества отсутствуют собственные выкупленные доли.</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50</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и оценки резервного капитала</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Общество вправе образовывать резервный и другие фонды. Размер резервного фонда, размер и перечень иных фондов, а также порядок и размеры отчислений в них определяется Общим собранием участников в порядке и на условиях, установленных Уставом и действующим законодательством Российской Федерации</w:t>
            </w:r>
            <w:r>
              <w:rPr>
                <w:rFonts w:ascii="Arial" w:hAnsi="Arial"/>
                <w:sz w:val="18"/>
                <w:szCs w:val="18"/>
              </w:rPr>
              <w:br/>
              <w:t>В 2024 году решение о формировании резервного капитал не принималось.</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 xml:space="preserve">Учет отложенных налоговых обязательств и отложенных налоговых активов осуществляется в соответствии с Положением Банка России от 04.09.2015 № 490-П «Отраслевой стандарт бухгалтерского учета отложенных налоговых обязательств и отложенных налоговых активов </w:t>
            </w:r>
            <w:proofErr w:type="spellStart"/>
            <w:r>
              <w:rPr>
                <w:rFonts w:ascii="Arial" w:hAnsi="Arial"/>
                <w:sz w:val="18"/>
                <w:szCs w:val="18"/>
              </w:rPr>
              <w:t>некредитными</w:t>
            </w:r>
            <w:proofErr w:type="spellEnd"/>
            <w:r>
              <w:rPr>
                <w:rFonts w:ascii="Arial" w:hAnsi="Arial"/>
                <w:sz w:val="18"/>
                <w:szCs w:val="18"/>
              </w:rPr>
              <w:t xml:space="preserve"> финансовыми организациями», Учетной политикой и МСФО (IAS) 12 «Налоги на прибыль».</w:t>
            </w:r>
            <w:r>
              <w:rPr>
                <w:rFonts w:ascii="Arial" w:hAnsi="Arial"/>
                <w:sz w:val="18"/>
                <w:szCs w:val="18"/>
              </w:rPr>
              <w:br/>
              <w:t>Отложенные налоговые активы и обязательства отражаются последним календарным днем отчетного периода (1 квартала, полугодия, 9 месяцев).</w:t>
            </w:r>
            <w:r>
              <w:rPr>
                <w:rFonts w:ascii="Arial" w:hAnsi="Arial"/>
                <w:sz w:val="18"/>
                <w:szCs w:val="18"/>
              </w:rPr>
              <w:br/>
              <w:t>При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52</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отражения дивидендов</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Дивиденды отражаются в отчетности в том периоде, в котором они были объявлены и надлежащим образом одобрены. Обязательство на конец отчетного периода не признается, если дивиденды объявлены после окончания отчетного периода. При этом если дивиденды объявлены до утверждения финансовой отчетности к выпуску, такие дивиденды раскрываются в примечаниях к финансовой отчетности.</w:t>
            </w:r>
          </w:p>
        </w:tc>
      </w:tr>
      <w:tr w:rsidR="00716B8B" w:rsidTr="004C033A">
        <w:trPr>
          <w:gridAfter w:val="6"/>
          <w:wAfter w:w="5040" w:type="dxa"/>
          <w:cantSplit/>
        </w:trPr>
        <w:tc>
          <w:tcPr>
            <w:tcW w:w="135" w:type="dxa"/>
            <w:shd w:val="clear" w:color="auto" w:fill="auto"/>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оценки и последующего учета прочих объектов бухгалтерского учета</w:t>
            </w:r>
          </w:p>
        </w:tc>
        <w:tc>
          <w:tcPr>
            <w:tcW w:w="5385" w:type="dxa"/>
            <w:gridSpan w:val="6"/>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Порядок признания, оценки и последующего учета прочих объектов бухгалтерского учета осуществляется в соответствии со Стандартами бухгалтерского учета.</w:t>
            </w:r>
          </w:p>
        </w:tc>
      </w:tr>
      <w:tr w:rsidR="00716B8B" w:rsidTr="004C033A">
        <w:trPr>
          <w:gridAfter w:val="6"/>
          <w:wAfter w:w="5040" w:type="dxa"/>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vAlign w:val="center"/>
          </w:tcPr>
          <w:p w:rsidR="00716B8B" w:rsidRDefault="00716B8B">
            <w:pPr>
              <w:spacing w:after="0"/>
              <w:jc w:val="center"/>
            </w:pPr>
          </w:p>
        </w:tc>
        <w:tc>
          <w:tcPr>
            <w:tcW w:w="4305" w:type="dxa"/>
            <w:shd w:val="clear" w:color="auto" w:fill="auto"/>
            <w:vAlign w:val="center"/>
          </w:tcPr>
          <w:p w:rsidR="00716B8B" w:rsidRDefault="00716B8B">
            <w:pPr>
              <w:spacing w:after="0"/>
              <w:jc w:val="center"/>
            </w:pPr>
          </w:p>
        </w:tc>
        <w:tc>
          <w:tcPr>
            <w:tcW w:w="5385" w:type="dxa"/>
            <w:gridSpan w:val="6"/>
            <w:shd w:val="clear" w:color="auto" w:fill="auto"/>
            <w:vAlign w:val="center"/>
          </w:tcPr>
          <w:p w:rsidR="00716B8B" w:rsidRDefault="00716B8B">
            <w:pPr>
              <w:spacing w:after="0"/>
              <w:jc w:val="center"/>
            </w:pPr>
          </w:p>
        </w:tc>
      </w:tr>
      <w:tr w:rsidR="00716B8B" w:rsidTr="004C033A">
        <w:trPr>
          <w:gridAfter w:val="6"/>
          <w:wAfter w:w="5040" w:type="dxa"/>
          <w:cantSplit/>
        </w:trPr>
        <w:tc>
          <w:tcPr>
            <w:tcW w:w="135" w:type="dxa"/>
            <w:shd w:val="clear" w:color="auto" w:fill="auto"/>
            <w:tcMar>
              <w:left w:w="105" w:type="dxa"/>
            </w:tcMar>
            <w:vAlign w:val="center"/>
          </w:tcPr>
          <w:p w:rsidR="00716B8B" w:rsidRDefault="00716B8B">
            <w:pPr>
              <w:spacing w:after="0"/>
              <w:ind w:left="105"/>
            </w:pPr>
          </w:p>
        </w:tc>
        <w:tc>
          <w:tcPr>
            <w:tcW w:w="10425" w:type="dxa"/>
            <w:gridSpan w:val="8"/>
            <w:shd w:val="clear" w:color="auto" w:fill="auto"/>
            <w:tcMar>
              <w:left w:w="105" w:type="dxa"/>
            </w:tcMar>
            <w:vAlign w:val="center"/>
          </w:tcPr>
          <w:p w:rsidR="00716B8B" w:rsidRDefault="00716B8B">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p w:rsidR="004C033A" w:rsidRDefault="004C033A">
            <w:pPr>
              <w:spacing w:after="0"/>
              <w:ind w:left="105"/>
            </w:pPr>
          </w:p>
        </w:tc>
      </w:tr>
      <w:tr w:rsidR="00716B8B" w:rsidTr="004C033A">
        <w:trPr>
          <w:cantSplit/>
        </w:trPr>
        <w:tc>
          <w:tcPr>
            <w:tcW w:w="135" w:type="dxa"/>
            <w:shd w:val="clear" w:color="auto" w:fill="auto"/>
            <w:tcMar>
              <w:left w:w="0" w:type="dxa"/>
            </w:tcMar>
            <w:vAlign w:val="center"/>
          </w:tcPr>
          <w:p w:rsidR="00716B8B" w:rsidRDefault="00716B8B">
            <w:pPr>
              <w:spacing w:after="0"/>
            </w:pPr>
          </w:p>
          <w:p w:rsidR="004C033A" w:rsidRDefault="004C033A">
            <w:pPr>
              <w:spacing w:after="0"/>
            </w:pPr>
          </w:p>
          <w:p w:rsidR="004C033A" w:rsidRDefault="004C033A">
            <w:pPr>
              <w:spacing w:after="0"/>
            </w:pPr>
          </w:p>
          <w:p w:rsidR="004C033A" w:rsidRDefault="004C033A">
            <w:pPr>
              <w:spacing w:after="0"/>
            </w:pPr>
          </w:p>
        </w:tc>
        <w:tc>
          <w:tcPr>
            <w:tcW w:w="15465" w:type="dxa"/>
            <w:gridSpan w:val="14"/>
            <w:shd w:val="clear" w:color="auto" w:fill="auto"/>
            <w:tcMar>
              <w:left w:w="105" w:type="dxa"/>
            </w:tcMar>
            <w:vAlign w:val="center"/>
          </w:tcPr>
          <w:p w:rsidR="00716B8B" w:rsidRDefault="005D4FA8">
            <w:pPr>
              <w:spacing w:after="0"/>
              <w:ind w:left="105"/>
            </w:pPr>
            <w:r>
              <w:rPr>
                <w:rFonts w:ascii="Arial" w:hAnsi="Arial"/>
                <w:b/>
                <w:sz w:val="24"/>
                <w:szCs w:val="24"/>
              </w:rPr>
              <w:t>Примечание 5. Денежные средства</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left w:w="0" w:type="dxa"/>
            </w:tcMar>
            <w:vAlign w:val="center"/>
          </w:tcPr>
          <w:p w:rsidR="00716B8B" w:rsidRDefault="00716B8B">
            <w:pPr>
              <w:spacing w:after="0"/>
            </w:pPr>
          </w:p>
        </w:tc>
        <w:tc>
          <w:tcPr>
            <w:tcW w:w="4440" w:type="dxa"/>
            <w:gridSpan w:val="2"/>
            <w:shd w:val="clear" w:color="auto" w:fill="auto"/>
            <w:tcMar>
              <w:left w:w="0" w:type="dxa"/>
            </w:tcMar>
            <w:vAlign w:val="center"/>
          </w:tcPr>
          <w:p w:rsidR="00716B8B" w:rsidRDefault="00716B8B">
            <w:pPr>
              <w:spacing w:after="0"/>
            </w:pPr>
          </w:p>
        </w:tc>
        <w:tc>
          <w:tcPr>
            <w:tcW w:w="3435" w:type="dxa"/>
            <w:gridSpan w:val="4"/>
            <w:shd w:val="clear" w:color="auto" w:fill="auto"/>
            <w:tcMar>
              <w:left w:w="0" w:type="dxa"/>
            </w:tcMar>
            <w:vAlign w:val="center"/>
          </w:tcPr>
          <w:p w:rsidR="00716B8B" w:rsidRDefault="00716B8B">
            <w:pPr>
              <w:spacing w:after="0"/>
            </w:pPr>
          </w:p>
        </w:tc>
        <w:tc>
          <w:tcPr>
            <w:tcW w:w="3420" w:type="dxa"/>
            <w:gridSpan w:val="4"/>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vAlign w:val="center"/>
          </w:tcPr>
          <w:p w:rsidR="00716B8B" w:rsidRDefault="005D4FA8">
            <w:pPr>
              <w:spacing w:after="0"/>
              <w:jc w:val="center"/>
            </w:pPr>
            <w:r>
              <w:rPr>
                <w:rFonts w:ascii="Arial" w:hAnsi="Arial"/>
                <w:b/>
              </w:rPr>
              <w:t>Денежные средства</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440" w:type="dxa"/>
            <w:gridSpan w:val="2"/>
            <w:shd w:val="clear" w:color="auto" w:fill="auto"/>
            <w:tcMar>
              <w:left w:w="0" w:type="dxa"/>
            </w:tcMar>
            <w:vAlign w:val="center"/>
          </w:tcPr>
          <w:p w:rsidR="00716B8B" w:rsidRDefault="00716B8B">
            <w:pPr>
              <w:spacing w:after="0"/>
            </w:pPr>
          </w:p>
        </w:tc>
        <w:tc>
          <w:tcPr>
            <w:tcW w:w="3435" w:type="dxa"/>
            <w:gridSpan w:val="4"/>
            <w:shd w:val="clear" w:color="auto" w:fill="auto"/>
            <w:tcMar>
              <w:left w:w="0" w:type="dxa"/>
            </w:tcMar>
            <w:vAlign w:val="center"/>
          </w:tcPr>
          <w:p w:rsidR="00716B8B" w:rsidRDefault="00716B8B">
            <w:pPr>
              <w:spacing w:after="0"/>
            </w:pPr>
          </w:p>
        </w:tc>
        <w:tc>
          <w:tcPr>
            <w:tcW w:w="3420" w:type="dxa"/>
            <w:gridSpan w:val="4"/>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tcMar>
              <w:right w:w="105" w:type="dxa"/>
            </w:tcMar>
            <w:vAlign w:val="center"/>
          </w:tcPr>
          <w:p w:rsidR="00716B8B" w:rsidRDefault="005D4FA8">
            <w:pPr>
              <w:spacing w:after="0"/>
              <w:jc w:val="right"/>
            </w:pPr>
            <w:r>
              <w:rPr>
                <w:rFonts w:ascii="Arial" w:hAnsi="Arial"/>
                <w:b/>
                <w:sz w:val="20"/>
                <w:szCs w:val="20"/>
              </w:rPr>
              <w:t>Таблица 5.1</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rsidTr="004C033A">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w:t>
            </w:r>
            <w:r>
              <w:rPr>
                <w:rFonts w:ascii="Arial" w:hAnsi="Arial"/>
                <w:b/>
                <w:sz w:val="18"/>
                <w:szCs w:val="18"/>
              </w:rPr>
              <w:br/>
              <w:t>строки</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31.03.2025 г.</w:t>
            </w: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31.03.2025 г.</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31.12.2024 г.</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31.12.2024 г.</w:t>
            </w:r>
          </w:p>
        </w:tc>
      </w:tr>
      <w:tr w:rsidR="00716B8B" w:rsidTr="004C033A">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w:t>
            </w:r>
          </w:p>
        </w:tc>
      </w:tr>
      <w:tr w:rsidR="00716B8B" w:rsidTr="004C033A">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4</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Расчетные счета</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103 013</w:t>
            </w: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103 013</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r>
      <w:tr w:rsidR="00716B8B" w:rsidTr="004C033A">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8</w:t>
            </w:r>
          </w:p>
        </w:tc>
        <w:tc>
          <w:tcPr>
            <w:tcW w:w="5280" w:type="dxa"/>
            <w:gridSpan w:val="3"/>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103 013</w:t>
            </w:r>
          </w:p>
        </w:tc>
        <w:tc>
          <w:tcPr>
            <w:tcW w:w="2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103 013</w:t>
            </w:r>
          </w:p>
        </w:tc>
        <w:tc>
          <w:tcPr>
            <w:tcW w:w="23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r>
      <w:tr w:rsidR="00716B8B" w:rsidTr="004C033A">
        <w:trPr>
          <w:cantSplit/>
        </w:trPr>
        <w:tc>
          <w:tcPr>
            <w:tcW w:w="15600" w:type="dxa"/>
            <w:gridSpan w:val="15"/>
            <w:shd w:val="clear" w:color="auto" w:fill="auto"/>
            <w:tcMar>
              <w:left w:w="0" w:type="dxa"/>
            </w:tcMar>
            <w:vAlign w:val="center"/>
          </w:tcPr>
          <w:p w:rsidR="00716B8B" w:rsidRDefault="00716B8B">
            <w:pPr>
              <w:spacing w:after="0"/>
            </w:pP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vAlign w:val="center"/>
          </w:tcPr>
          <w:p w:rsidR="005D4FA8" w:rsidRDefault="005D4FA8">
            <w:pPr>
              <w:spacing w:after="0"/>
              <w:jc w:val="center"/>
              <w:rPr>
                <w:rFonts w:ascii="Arial" w:hAnsi="Arial"/>
                <w:b/>
              </w:rPr>
            </w:pPr>
          </w:p>
          <w:p w:rsidR="005D4FA8" w:rsidRDefault="005D4FA8">
            <w:pPr>
              <w:spacing w:after="0"/>
              <w:jc w:val="center"/>
              <w:rPr>
                <w:rFonts w:ascii="Arial" w:hAnsi="Arial"/>
                <w:b/>
              </w:rPr>
            </w:pPr>
          </w:p>
          <w:p w:rsidR="00716B8B" w:rsidRDefault="005D4FA8">
            <w:pPr>
              <w:spacing w:after="0"/>
              <w:jc w:val="center"/>
            </w:pPr>
            <w:r>
              <w:rPr>
                <w:rFonts w:ascii="Arial" w:hAnsi="Arial"/>
                <w:b/>
              </w:rPr>
              <w:t>Компоненты денежных средств и их эквивалентов</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6120" w:type="dxa"/>
            <w:gridSpan w:val="4"/>
            <w:shd w:val="clear" w:color="auto" w:fill="auto"/>
            <w:tcMar>
              <w:left w:w="0" w:type="dxa"/>
            </w:tcMar>
            <w:vAlign w:val="center"/>
          </w:tcPr>
          <w:p w:rsidR="00716B8B" w:rsidRDefault="00716B8B">
            <w:pPr>
              <w:spacing w:after="0"/>
            </w:pPr>
          </w:p>
        </w:tc>
        <w:tc>
          <w:tcPr>
            <w:tcW w:w="4305" w:type="dxa"/>
            <w:gridSpan w:val="5"/>
            <w:shd w:val="clear" w:color="auto" w:fill="auto"/>
            <w:tcMar>
              <w:left w:w="0" w:type="dxa"/>
            </w:tcMar>
            <w:vAlign w:val="center"/>
          </w:tcPr>
          <w:p w:rsidR="00716B8B" w:rsidRDefault="00716B8B">
            <w:pPr>
              <w:spacing w:after="0"/>
            </w:pPr>
          </w:p>
        </w:tc>
        <w:tc>
          <w:tcPr>
            <w:tcW w:w="4305" w:type="dxa"/>
            <w:gridSpan w:val="4"/>
            <w:shd w:val="clear" w:color="auto" w:fill="auto"/>
            <w:tcMar>
              <w:left w:w="0" w:type="dxa"/>
            </w:tcMar>
            <w:vAlign w:val="center"/>
          </w:tcPr>
          <w:p w:rsidR="00716B8B" w:rsidRDefault="00716B8B">
            <w:pPr>
              <w:spacing w:after="0"/>
            </w:pP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tcMar>
              <w:right w:w="105" w:type="dxa"/>
            </w:tcMar>
            <w:vAlign w:val="center"/>
          </w:tcPr>
          <w:p w:rsidR="00716B8B" w:rsidRDefault="005D4FA8">
            <w:pPr>
              <w:spacing w:after="0"/>
              <w:jc w:val="right"/>
            </w:pPr>
            <w:r>
              <w:rPr>
                <w:rFonts w:ascii="Arial" w:hAnsi="Arial"/>
                <w:b/>
                <w:sz w:val="20"/>
                <w:szCs w:val="20"/>
              </w:rPr>
              <w:t>Таблица 5.2</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15465" w:type="dxa"/>
            <w:gridSpan w:val="14"/>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43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43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Денежные средства</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103 013</w:t>
            </w:r>
          </w:p>
        </w:tc>
        <w:tc>
          <w:tcPr>
            <w:tcW w:w="43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r>
      <w:tr w:rsidR="00716B8B" w:rsidTr="004C033A">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8</w:t>
            </w:r>
          </w:p>
        </w:tc>
        <w:tc>
          <w:tcPr>
            <w:tcW w:w="612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430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103 013</w:t>
            </w:r>
          </w:p>
        </w:tc>
        <w:tc>
          <w:tcPr>
            <w:tcW w:w="43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4440"/>
        <w:gridCol w:w="2520"/>
        <w:gridCol w:w="915"/>
        <w:gridCol w:w="2970"/>
        <w:gridCol w:w="450"/>
        <w:gridCol w:w="3420"/>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left w:w="105" w:type="dxa"/>
            </w:tcMar>
            <w:vAlign w:val="center"/>
          </w:tcPr>
          <w:p w:rsidR="00716B8B" w:rsidRDefault="005D4FA8">
            <w:pPr>
              <w:spacing w:after="0"/>
              <w:ind w:left="105"/>
            </w:pPr>
            <w:r>
              <w:rPr>
                <w:rFonts w:ascii="Arial" w:hAnsi="Arial"/>
                <w:b/>
                <w:sz w:val="24"/>
                <w:szCs w:val="24"/>
              </w:rPr>
              <w:t>Примечание 10. Финансовые активы, оцениваемые по амортизированной стоимости: средства в кредитных организациях и банках-нерезидентах</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left w:w="0" w:type="dxa"/>
            </w:tcMar>
            <w:vAlign w:val="center"/>
          </w:tcPr>
          <w:p w:rsidR="00716B8B" w:rsidRDefault="00716B8B">
            <w:pPr>
              <w:spacing w:after="0"/>
            </w:pPr>
          </w:p>
        </w:tc>
        <w:tc>
          <w:tcPr>
            <w:tcW w:w="4440" w:type="dxa"/>
            <w:shd w:val="clear" w:color="auto" w:fill="auto"/>
            <w:tcMar>
              <w:left w:w="0" w:type="dxa"/>
            </w:tcMar>
            <w:vAlign w:val="center"/>
          </w:tcPr>
          <w:p w:rsidR="00716B8B" w:rsidRDefault="00716B8B">
            <w:pPr>
              <w:spacing w:after="0"/>
            </w:pPr>
          </w:p>
        </w:tc>
        <w:tc>
          <w:tcPr>
            <w:tcW w:w="3435" w:type="dxa"/>
            <w:gridSpan w:val="2"/>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vAlign w:val="center"/>
          </w:tcPr>
          <w:p w:rsidR="00716B8B" w:rsidRDefault="005D4FA8">
            <w:pPr>
              <w:spacing w:after="0"/>
              <w:jc w:val="center"/>
            </w:pPr>
            <w:r>
              <w:rPr>
                <w:rFonts w:ascii="Arial" w:hAnsi="Arial"/>
                <w:b/>
              </w:rPr>
              <w:t>Средства в кредитных организациях и банках-нерезидентах, оцениваемые по амортизированной стоимости</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440" w:type="dxa"/>
            <w:shd w:val="clear" w:color="auto" w:fill="auto"/>
            <w:tcMar>
              <w:left w:w="0" w:type="dxa"/>
            </w:tcMar>
            <w:vAlign w:val="center"/>
          </w:tcPr>
          <w:p w:rsidR="00716B8B" w:rsidRDefault="00716B8B">
            <w:pPr>
              <w:spacing w:after="0"/>
            </w:pPr>
          </w:p>
        </w:tc>
        <w:tc>
          <w:tcPr>
            <w:tcW w:w="3435" w:type="dxa"/>
            <w:gridSpan w:val="2"/>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b/>
                <w:sz w:val="20"/>
                <w:szCs w:val="20"/>
              </w:rPr>
              <w:t>Таблица 10.01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w:t>
            </w:r>
            <w:r>
              <w:rPr>
                <w:rFonts w:ascii="Arial" w:hAnsi="Arial"/>
                <w:b/>
                <w:sz w:val="18"/>
                <w:szCs w:val="18"/>
              </w:rPr>
              <w:br/>
              <w:t>строки</w:t>
            </w:r>
          </w:p>
        </w:tc>
        <w:tc>
          <w:tcPr>
            <w:tcW w:w="69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8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31.12.2024 г.</w:t>
            </w:r>
          </w:p>
        </w:tc>
        <w:tc>
          <w:tcPr>
            <w:tcW w:w="38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31.12.2024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696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8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c>
          <w:tcPr>
            <w:tcW w:w="38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w:t>
            </w:r>
          </w:p>
        </w:tc>
        <w:tc>
          <w:tcPr>
            <w:tcW w:w="696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Депозиты в кредитных организациях и банках-нерезидентах, в том числе:</w:t>
            </w:r>
          </w:p>
        </w:tc>
        <w:tc>
          <w:tcPr>
            <w:tcW w:w="38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104 403</w:t>
            </w:r>
          </w:p>
        </w:tc>
        <w:tc>
          <w:tcPr>
            <w:tcW w:w="38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104 403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14</w:t>
            </w:r>
          </w:p>
        </w:tc>
        <w:tc>
          <w:tcPr>
            <w:tcW w:w="696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8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104 403</w:t>
            </w:r>
          </w:p>
        </w:tc>
        <w:tc>
          <w:tcPr>
            <w:tcW w:w="38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104 403</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4440"/>
        <w:gridCol w:w="840"/>
        <w:gridCol w:w="2355"/>
        <w:gridCol w:w="240"/>
        <w:gridCol w:w="2115"/>
        <w:gridCol w:w="1305"/>
        <w:gridCol w:w="1035"/>
        <w:gridCol w:w="2355"/>
        <w:gridCol w:w="4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left w:w="105" w:type="dxa"/>
            </w:tcMar>
            <w:vAlign w:val="center"/>
          </w:tcPr>
          <w:p w:rsidR="00716B8B" w:rsidRDefault="005D4FA8">
            <w:pPr>
              <w:spacing w:after="0"/>
              <w:ind w:left="105"/>
            </w:pPr>
            <w:r>
              <w:rPr>
                <w:rFonts w:ascii="Arial" w:hAnsi="Arial"/>
                <w:b/>
                <w:sz w:val="24"/>
                <w:szCs w:val="24"/>
              </w:rPr>
              <w:t>Примечание 12. Финансовые активы, оцениваемые по амортизированной стоимости: займы выданные и прочие размещенные средства</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left w:w="0" w:type="dxa"/>
            </w:tcMar>
            <w:vAlign w:val="center"/>
          </w:tcPr>
          <w:p w:rsidR="00716B8B" w:rsidRDefault="00716B8B">
            <w:pPr>
              <w:spacing w:after="0"/>
            </w:pPr>
          </w:p>
        </w:tc>
        <w:tc>
          <w:tcPr>
            <w:tcW w:w="4440" w:type="dxa"/>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vAlign w:val="center"/>
          </w:tcPr>
          <w:p w:rsidR="00716B8B" w:rsidRDefault="005D4FA8">
            <w:pPr>
              <w:spacing w:after="0"/>
              <w:jc w:val="center"/>
            </w:pPr>
            <w:r>
              <w:rPr>
                <w:rFonts w:ascii="Arial" w:hAnsi="Arial"/>
                <w:b/>
              </w:rPr>
              <w:t>Дебиторская задолженность, оцениваемая по амортизированной стоимости</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440" w:type="dxa"/>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right w:w="105" w:type="dxa"/>
            </w:tcMar>
            <w:vAlign w:val="center"/>
          </w:tcPr>
          <w:p w:rsidR="00716B8B" w:rsidRDefault="005D4FA8">
            <w:pPr>
              <w:spacing w:after="0"/>
              <w:jc w:val="right"/>
            </w:pPr>
            <w:r>
              <w:rPr>
                <w:rFonts w:ascii="Arial" w:hAnsi="Arial"/>
                <w:b/>
                <w:sz w:val="20"/>
                <w:szCs w:val="20"/>
              </w:rPr>
              <w:t>Таблица 12.01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w:t>
            </w:r>
            <w:r>
              <w:rPr>
                <w:rFonts w:ascii="Arial" w:hAnsi="Arial"/>
                <w:b/>
                <w:sz w:val="18"/>
                <w:szCs w:val="18"/>
              </w:rPr>
              <w:br/>
              <w:t>строки</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31.03.2025 г.</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31.03.2025 г.</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31.12.2024 г.</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31.12.2024 г.</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Дебиторская задолженность клиентов</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907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907</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69</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69</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9</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907</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907</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69</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69</w:t>
            </w:r>
          </w:p>
        </w:tc>
      </w:tr>
    </w:tbl>
    <w:p w:rsidR="00716B8B" w:rsidRDefault="00716B8B">
      <w:pPr>
        <w:sectPr w:rsidR="00716B8B">
          <w:pgSz w:w="16839" w:h="11907" w:orient="landscape"/>
          <w:pgMar w:top="567" w:right="567" w:bottom="567" w:left="567" w:header="720" w:footer="720" w:gutter="0"/>
          <w:cols w:space="720"/>
        </w:sectPr>
      </w:pPr>
    </w:p>
    <w:tbl>
      <w:tblPr>
        <w:tblW w:w="15600" w:type="dxa"/>
        <w:tblInd w:w="105" w:type="dxa"/>
        <w:tblLayout w:type="fixed"/>
        <w:tblCellMar>
          <w:left w:w="0" w:type="dxa"/>
          <w:right w:w="0" w:type="dxa"/>
        </w:tblCellMar>
        <w:tblLook w:val="04A0" w:firstRow="1" w:lastRow="0" w:firstColumn="1" w:lastColumn="0" w:noHBand="0" w:noVBand="1"/>
      </w:tblPr>
      <w:tblGrid>
        <w:gridCol w:w="135"/>
        <w:gridCol w:w="735"/>
        <w:gridCol w:w="2130"/>
        <w:gridCol w:w="240"/>
        <w:gridCol w:w="1335"/>
        <w:gridCol w:w="420"/>
        <w:gridCol w:w="1155"/>
        <w:gridCol w:w="615"/>
        <w:gridCol w:w="960"/>
        <w:gridCol w:w="795"/>
        <w:gridCol w:w="780"/>
        <w:gridCol w:w="975"/>
        <w:gridCol w:w="600"/>
        <w:gridCol w:w="1155"/>
        <w:gridCol w:w="420"/>
        <w:gridCol w:w="1350"/>
        <w:gridCol w:w="225"/>
        <w:gridCol w:w="1530"/>
        <w:gridCol w:w="45"/>
      </w:tblGrid>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8"/>
            <w:shd w:val="clear" w:color="auto" w:fill="auto"/>
            <w:tcMar>
              <w:left w:w="105" w:type="dxa"/>
            </w:tcMar>
            <w:vAlign w:val="center"/>
          </w:tcPr>
          <w:p w:rsidR="00716B8B" w:rsidRDefault="005D4FA8">
            <w:pPr>
              <w:spacing w:after="0"/>
              <w:ind w:left="105"/>
            </w:pPr>
            <w:r>
              <w:rPr>
                <w:rFonts w:ascii="Arial" w:hAnsi="Arial"/>
                <w:b/>
                <w:sz w:val="24"/>
                <w:szCs w:val="24"/>
              </w:rPr>
              <w:t>Примечание 18. Нематериальные активы и капитальные вложения в них</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vAlign w:val="center"/>
          </w:tcPr>
          <w:p w:rsidR="00716B8B" w:rsidRDefault="00716B8B">
            <w:pPr>
              <w:spacing w:after="0"/>
              <w:jc w:val="center"/>
            </w:pPr>
          </w:p>
        </w:tc>
        <w:tc>
          <w:tcPr>
            <w:tcW w:w="2130" w:type="dxa"/>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8"/>
            <w:shd w:val="clear" w:color="auto" w:fill="auto"/>
            <w:vAlign w:val="center"/>
          </w:tcPr>
          <w:p w:rsidR="00716B8B" w:rsidRDefault="005D4FA8">
            <w:pPr>
              <w:spacing w:after="0"/>
              <w:jc w:val="center"/>
            </w:pPr>
            <w:r>
              <w:rPr>
                <w:rFonts w:ascii="Arial" w:hAnsi="Arial"/>
                <w:b/>
              </w:rPr>
              <w:t>Нематериальные активы и капитальные вложения в них</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tcMar>
              <w:right w:w="105" w:type="dxa"/>
            </w:tcMar>
            <w:vAlign w:val="center"/>
          </w:tcPr>
          <w:p w:rsidR="00716B8B" w:rsidRDefault="00716B8B">
            <w:pPr>
              <w:spacing w:after="0"/>
              <w:jc w:val="right"/>
            </w:pPr>
          </w:p>
        </w:tc>
        <w:tc>
          <w:tcPr>
            <w:tcW w:w="2130" w:type="dxa"/>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c>
          <w:tcPr>
            <w:tcW w:w="1575" w:type="dxa"/>
            <w:gridSpan w:val="2"/>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8"/>
            <w:shd w:val="clear" w:color="auto" w:fill="auto"/>
            <w:tcMar>
              <w:right w:w="105" w:type="dxa"/>
            </w:tcMar>
            <w:vAlign w:val="center"/>
          </w:tcPr>
          <w:p w:rsidR="00716B8B" w:rsidRDefault="005D4FA8">
            <w:pPr>
              <w:spacing w:after="0"/>
              <w:jc w:val="right"/>
            </w:pPr>
            <w:r>
              <w:rPr>
                <w:rFonts w:ascii="Arial" w:hAnsi="Arial"/>
                <w:b/>
                <w:sz w:val="20"/>
                <w:szCs w:val="20"/>
              </w:rPr>
              <w:t>Таблица 18.01</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8"/>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237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5280" w:type="dxa"/>
            <w:gridSpan w:val="6"/>
            <w:tcBorders>
              <w:top w:val="single" w:sz="5" w:space="0" w:color="auto"/>
              <w:left w:val="single" w:sz="5" w:space="0" w:color="auto"/>
              <w:bottom w:val="single" w:sz="5" w:space="0" w:color="auto"/>
            </w:tcBorders>
            <w:shd w:val="clear" w:color="auto" w:fill="auto"/>
            <w:vAlign w:val="center"/>
          </w:tcPr>
          <w:p w:rsidR="00716B8B" w:rsidRDefault="005D4FA8">
            <w:pPr>
              <w:spacing w:after="0"/>
              <w:jc w:val="center"/>
            </w:pPr>
            <w:r>
              <w:rPr>
                <w:rFonts w:ascii="Arial" w:hAnsi="Arial"/>
                <w:b/>
                <w:sz w:val="18"/>
                <w:szCs w:val="18"/>
              </w:rPr>
              <w:t>Нематериальные активы, приобретенные</w:t>
            </w:r>
          </w:p>
        </w:tc>
        <w:tc>
          <w:tcPr>
            <w:tcW w:w="5280" w:type="dxa"/>
            <w:gridSpan w:val="6"/>
            <w:tcBorders>
              <w:top w:val="single" w:sz="5" w:space="0" w:color="auto"/>
              <w:left w:val="single" w:sz="5" w:space="0" w:color="auto"/>
              <w:bottom w:val="single" w:sz="5" w:space="0" w:color="auto"/>
            </w:tcBorders>
            <w:shd w:val="clear" w:color="auto" w:fill="auto"/>
            <w:vAlign w:val="center"/>
          </w:tcPr>
          <w:p w:rsidR="00716B8B" w:rsidRDefault="005D4FA8">
            <w:pPr>
              <w:spacing w:after="0"/>
              <w:jc w:val="center"/>
            </w:pPr>
            <w:r>
              <w:rPr>
                <w:rFonts w:ascii="Arial" w:hAnsi="Arial"/>
                <w:b/>
                <w:sz w:val="18"/>
                <w:szCs w:val="18"/>
              </w:rPr>
              <w:t>Нематериальные активы, созданные самостоятельно</w:t>
            </w:r>
          </w:p>
        </w:tc>
        <w:tc>
          <w:tcPr>
            <w:tcW w:w="1755"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Итого</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2370" w:type="dxa"/>
            <w:gridSpan w:val="2"/>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Программное обеспечение</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Лицензии и франшизы</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Прочее</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Программное обеспечение</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Лицензии и франшизы</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Прочее</w:t>
            </w:r>
          </w:p>
        </w:tc>
        <w:tc>
          <w:tcPr>
            <w:tcW w:w="1755" w:type="dxa"/>
            <w:gridSpan w:val="2"/>
            <w:vMerge/>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716B8B">
            <w:pPr>
              <w:spacing w:after="0"/>
              <w:jc w:val="center"/>
            </w:pP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7</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27</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Балансовая стоимость на 01.01.2025 г., в том числе:</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14 334</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483</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14 817</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28</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первоначальная (переоцененная) стоимость</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14 560</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500</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15 060</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rsidP="004C033A">
            <w:pPr>
              <w:spacing w:after="0"/>
              <w:jc w:val="center"/>
            </w:pPr>
            <w:r>
              <w:rPr>
                <w:rFonts w:ascii="Arial" w:hAnsi="Arial"/>
                <w:sz w:val="18"/>
                <w:szCs w:val="18"/>
              </w:rPr>
              <w:t>29</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накопленная амортизация</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(227)</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(17)</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(243)</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31</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Поступление</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2 403</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390</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2 793</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38</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Амортизация</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(802)</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(44)</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(846)</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49</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Балансовая стоимость на 31.03.2025 г., в том числе:</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15 935</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829</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16 764</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50</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первоначальная (переоцененная) стоимость</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16 963</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890</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17 853</w:t>
            </w:r>
          </w:p>
        </w:tc>
      </w:tr>
      <w:tr w:rsidR="00716B8B">
        <w:trPr>
          <w:gridAfter w:val="1"/>
          <w:wAfter w:w="45" w:type="dxa"/>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51</w:t>
            </w:r>
          </w:p>
        </w:tc>
        <w:tc>
          <w:tcPr>
            <w:tcW w:w="2370"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накопленная амортизация</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(1 028)</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(61)</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7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17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(1 089)</w:t>
            </w:r>
          </w:p>
        </w:tc>
      </w:tr>
    </w:tbl>
    <w:p w:rsidR="00716B8B" w:rsidRDefault="00716B8B">
      <w:pPr>
        <w:sectPr w:rsidR="00716B8B">
          <w:pgSz w:w="16839" w:h="11907" w:orient="landscape"/>
          <w:pgMar w:top="567" w:right="567" w:bottom="567" w:left="567" w:header="720" w:footer="720" w:gutter="0"/>
          <w:cols w:space="720"/>
        </w:sectPr>
      </w:pPr>
    </w:p>
    <w:tbl>
      <w:tblPr>
        <w:tblW w:w="15600" w:type="dxa"/>
        <w:tblInd w:w="105" w:type="dxa"/>
        <w:tblLayout w:type="fixed"/>
        <w:tblCellMar>
          <w:left w:w="0" w:type="dxa"/>
          <w:right w:w="0" w:type="dxa"/>
        </w:tblCellMar>
        <w:tblLook w:val="04A0" w:firstRow="1" w:lastRow="0" w:firstColumn="1" w:lastColumn="0" w:noHBand="0" w:noVBand="1"/>
      </w:tblPr>
      <w:tblGrid>
        <w:gridCol w:w="135"/>
        <w:gridCol w:w="735"/>
        <w:gridCol w:w="1725"/>
        <w:gridCol w:w="1305"/>
        <w:gridCol w:w="1305"/>
        <w:gridCol w:w="195"/>
        <w:gridCol w:w="1095"/>
        <w:gridCol w:w="1305"/>
        <w:gridCol w:w="990"/>
        <w:gridCol w:w="300"/>
        <w:gridCol w:w="1305"/>
        <w:gridCol w:w="1305"/>
        <w:gridCol w:w="495"/>
        <w:gridCol w:w="795"/>
        <w:gridCol w:w="1305"/>
        <w:gridCol w:w="1305"/>
      </w:tblGrid>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5"/>
            <w:shd w:val="clear" w:color="auto" w:fill="auto"/>
            <w:tcMar>
              <w:left w:w="105" w:type="dxa"/>
            </w:tcMar>
            <w:vAlign w:val="center"/>
          </w:tcPr>
          <w:p w:rsidR="00716B8B" w:rsidRDefault="005D4FA8">
            <w:pPr>
              <w:spacing w:after="0"/>
              <w:ind w:left="105"/>
            </w:pPr>
            <w:r>
              <w:rPr>
                <w:rFonts w:ascii="Arial" w:hAnsi="Arial"/>
                <w:b/>
                <w:sz w:val="24"/>
                <w:szCs w:val="24"/>
              </w:rPr>
              <w:t>Примечание 19. Основные средства и капитальные вложения в них</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vAlign w:val="center"/>
          </w:tcPr>
          <w:p w:rsidR="00716B8B" w:rsidRDefault="00716B8B">
            <w:pPr>
              <w:spacing w:after="0"/>
              <w:jc w:val="center"/>
            </w:pPr>
          </w:p>
        </w:tc>
        <w:tc>
          <w:tcPr>
            <w:tcW w:w="172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5"/>
            <w:shd w:val="clear" w:color="auto" w:fill="auto"/>
            <w:vAlign w:val="center"/>
          </w:tcPr>
          <w:p w:rsidR="00716B8B" w:rsidRDefault="005D4FA8">
            <w:pPr>
              <w:spacing w:after="0"/>
              <w:jc w:val="center"/>
            </w:pPr>
            <w:r>
              <w:rPr>
                <w:rFonts w:ascii="Arial" w:hAnsi="Arial"/>
                <w:b/>
              </w:rPr>
              <w:t>Основные средства и капитальные вложения в них</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shd w:val="clear" w:color="auto" w:fill="auto"/>
            <w:tcMar>
              <w:right w:w="105" w:type="dxa"/>
            </w:tcMar>
            <w:vAlign w:val="center"/>
          </w:tcPr>
          <w:p w:rsidR="00716B8B" w:rsidRDefault="00716B8B">
            <w:pPr>
              <w:spacing w:after="0"/>
              <w:jc w:val="right"/>
            </w:pPr>
          </w:p>
        </w:tc>
        <w:tc>
          <w:tcPr>
            <w:tcW w:w="172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290" w:type="dxa"/>
            <w:gridSpan w:val="2"/>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c>
          <w:tcPr>
            <w:tcW w:w="1305" w:type="dxa"/>
            <w:shd w:val="clear" w:color="auto" w:fill="auto"/>
            <w:tcMar>
              <w:left w:w="105" w:type="dxa"/>
            </w:tcMar>
            <w:vAlign w:val="center"/>
          </w:tcPr>
          <w:p w:rsidR="00716B8B" w:rsidRDefault="00716B8B">
            <w:pPr>
              <w:spacing w:after="0"/>
              <w:ind w:left="105"/>
            </w:pP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5"/>
            <w:shd w:val="clear" w:color="auto" w:fill="auto"/>
            <w:tcMar>
              <w:right w:w="105" w:type="dxa"/>
            </w:tcMar>
            <w:vAlign w:val="center"/>
          </w:tcPr>
          <w:p w:rsidR="00716B8B" w:rsidRDefault="005D4FA8">
            <w:pPr>
              <w:spacing w:after="0"/>
              <w:jc w:val="right"/>
            </w:pPr>
            <w:r>
              <w:rPr>
                <w:rFonts w:ascii="Arial" w:hAnsi="Arial"/>
                <w:b/>
                <w:sz w:val="20"/>
                <w:szCs w:val="20"/>
              </w:rPr>
              <w:t>Таблица 19.01</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15465" w:type="dxa"/>
            <w:gridSpan w:val="15"/>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Номер строки</w:t>
            </w:r>
          </w:p>
        </w:tc>
        <w:tc>
          <w:tcPr>
            <w:tcW w:w="4530" w:type="dxa"/>
            <w:gridSpan w:val="4"/>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Наименование показателя</w:t>
            </w:r>
          </w:p>
        </w:tc>
        <w:tc>
          <w:tcPr>
            <w:tcW w:w="3390" w:type="dxa"/>
            <w:gridSpan w:val="3"/>
            <w:tcBorders>
              <w:top w:val="single" w:sz="5" w:space="0" w:color="auto"/>
              <w:left w:val="single" w:sz="5" w:space="0" w:color="auto"/>
              <w:bottom w:val="single" w:sz="5" w:space="0" w:color="auto"/>
            </w:tcBorders>
            <w:shd w:val="clear" w:color="auto" w:fill="auto"/>
            <w:vAlign w:val="center"/>
          </w:tcPr>
          <w:p w:rsidR="00716B8B" w:rsidRDefault="005D4FA8">
            <w:pPr>
              <w:spacing w:after="0"/>
              <w:jc w:val="center"/>
            </w:pPr>
            <w:r>
              <w:rPr>
                <w:rFonts w:ascii="Arial" w:hAnsi="Arial"/>
                <w:b/>
                <w:sz w:val="14"/>
                <w:szCs w:val="14"/>
              </w:rPr>
              <w:t>Основные средства в собственности: Офисное и компьютерное оборудование</w:t>
            </w:r>
          </w:p>
        </w:tc>
        <w:tc>
          <w:tcPr>
            <w:tcW w:w="3405" w:type="dxa"/>
            <w:gridSpan w:val="4"/>
            <w:tcBorders>
              <w:top w:val="single" w:sz="5" w:space="0" w:color="auto"/>
              <w:left w:val="single" w:sz="5" w:space="0" w:color="auto"/>
              <w:bottom w:val="single" w:sz="5" w:space="0" w:color="auto"/>
            </w:tcBorders>
            <w:shd w:val="clear" w:color="auto" w:fill="auto"/>
            <w:vAlign w:val="center"/>
          </w:tcPr>
          <w:p w:rsidR="00716B8B" w:rsidRDefault="005D4FA8">
            <w:pPr>
              <w:spacing w:after="0"/>
              <w:jc w:val="center"/>
            </w:pPr>
            <w:r>
              <w:rPr>
                <w:rFonts w:ascii="Arial" w:hAnsi="Arial"/>
                <w:b/>
                <w:sz w:val="14"/>
                <w:szCs w:val="14"/>
              </w:rPr>
              <w:t>Активы в форме права пользования, относящиеся к основным средствам: Земля, здания и сооружения</w:t>
            </w:r>
          </w:p>
        </w:tc>
        <w:tc>
          <w:tcPr>
            <w:tcW w:w="3405" w:type="dxa"/>
            <w:gridSpan w:val="3"/>
            <w:tcBorders>
              <w:top w:val="single" w:sz="5" w:space="0" w:color="auto"/>
              <w:left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Итого</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2</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4</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7</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12</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28</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4"/>
                <w:szCs w:val="14"/>
              </w:rPr>
              <w:t>Балансовая стоимость на 01.01.2025 г., в том числе: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152</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4 957</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5 109</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29</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4"/>
                <w:szCs w:val="14"/>
              </w:rPr>
              <w:t>первоначальная (переоцененная) стоимость</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158</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5 650</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5 808</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30</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4"/>
                <w:szCs w:val="14"/>
              </w:rPr>
              <w:t>накопленная 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(6)</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(693)</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(699)</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40</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4"/>
                <w:szCs w:val="14"/>
              </w:rPr>
              <w:t>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(20)</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(473)</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(492)</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50</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4"/>
                <w:szCs w:val="14"/>
              </w:rPr>
              <w:t>Прочее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11</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11</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51</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4"/>
                <w:szCs w:val="14"/>
              </w:rPr>
              <w:t>Балансовая стоимость на 31.03.2025 г., в том числе:</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132</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4 496</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4 628</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52</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4"/>
                <w:szCs w:val="14"/>
              </w:rPr>
              <w:t>первоначальная (переоцененная) стоимость</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158</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5 661</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5 819</w:t>
            </w:r>
          </w:p>
        </w:tc>
      </w:tr>
      <w:tr w:rsidR="00716B8B">
        <w:trPr>
          <w:cantSplit/>
        </w:trPr>
        <w:tc>
          <w:tcPr>
            <w:tcW w:w="135" w:type="dxa"/>
            <w:shd w:val="clear" w:color="auto" w:fill="auto"/>
            <w:tcMar>
              <w:left w:w="105" w:type="dxa"/>
            </w:tcMar>
            <w:vAlign w:val="center"/>
          </w:tcPr>
          <w:p w:rsidR="00716B8B" w:rsidRDefault="00716B8B">
            <w:pPr>
              <w:spacing w:after="0"/>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53</w:t>
            </w:r>
          </w:p>
        </w:tc>
        <w:tc>
          <w:tcPr>
            <w:tcW w:w="4530" w:type="dxa"/>
            <w:gridSpan w:val="4"/>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4"/>
                <w:szCs w:val="14"/>
              </w:rPr>
              <w:t>накопленная амортизация</w:t>
            </w:r>
          </w:p>
        </w:tc>
        <w:tc>
          <w:tcPr>
            <w:tcW w:w="339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(26)</w:t>
            </w:r>
          </w:p>
        </w:tc>
        <w:tc>
          <w:tcPr>
            <w:tcW w:w="340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4"/>
                <w:szCs w:val="14"/>
              </w:rPr>
              <w:t>(1 165)</w:t>
            </w:r>
          </w:p>
        </w:tc>
        <w:tc>
          <w:tcPr>
            <w:tcW w:w="3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4"/>
                <w:szCs w:val="14"/>
              </w:rPr>
              <w:t>(1 191)</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4440"/>
        <w:gridCol w:w="840"/>
        <w:gridCol w:w="2355"/>
        <w:gridCol w:w="240"/>
        <w:gridCol w:w="2115"/>
        <w:gridCol w:w="1305"/>
        <w:gridCol w:w="1035"/>
        <w:gridCol w:w="2355"/>
        <w:gridCol w:w="4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left w:w="105" w:type="dxa"/>
            </w:tcMar>
            <w:vAlign w:val="center"/>
          </w:tcPr>
          <w:p w:rsidR="00716B8B" w:rsidRDefault="005D4FA8">
            <w:pPr>
              <w:spacing w:after="0"/>
              <w:ind w:left="105"/>
            </w:pPr>
            <w:r>
              <w:rPr>
                <w:rFonts w:ascii="Arial" w:hAnsi="Arial"/>
                <w:b/>
                <w:sz w:val="24"/>
                <w:szCs w:val="24"/>
              </w:rPr>
              <w:t>Примечание 20. Прочие активы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left w:w="0" w:type="dxa"/>
            </w:tcMar>
            <w:vAlign w:val="center"/>
          </w:tcPr>
          <w:p w:rsidR="00716B8B" w:rsidRDefault="00716B8B">
            <w:pPr>
              <w:spacing w:after="0"/>
            </w:pPr>
          </w:p>
        </w:tc>
        <w:tc>
          <w:tcPr>
            <w:tcW w:w="4440" w:type="dxa"/>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vAlign w:val="center"/>
          </w:tcPr>
          <w:p w:rsidR="00716B8B" w:rsidRDefault="005D4FA8">
            <w:pPr>
              <w:spacing w:after="0"/>
              <w:jc w:val="center"/>
            </w:pPr>
            <w:r>
              <w:rPr>
                <w:rFonts w:ascii="Arial" w:hAnsi="Arial"/>
                <w:b/>
              </w:rPr>
              <w:t>Прочие активы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440" w:type="dxa"/>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c>
          <w:tcPr>
            <w:tcW w:w="3420" w:type="dxa"/>
            <w:gridSpan w:val="2"/>
            <w:shd w:val="clear" w:color="auto" w:fill="auto"/>
            <w:tcMar>
              <w:left w:w="0" w:type="dxa"/>
            </w:tcMar>
            <w:vAlign w:val="center"/>
          </w:tcPr>
          <w:p w:rsidR="00716B8B" w:rsidRDefault="00716B8B">
            <w:pPr>
              <w:spacing w:after="0"/>
            </w:pPr>
          </w:p>
        </w:tc>
        <w:tc>
          <w:tcPr>
            <w:tcW w:w="3435" w:type="dxa"/>
            <w:gridSpan w:val="3"/>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right w:w="105" w:type="dxa"/>
            </w:tcMar>
            <w:vAlign w:val="center"/>
          </w:tcPr>
          <w:p w:rsidR="00716B8B" w:rsidRDefault="005D4FA8">
            <w:pPr>
              <w:spacing w:after="0"/>
              <w:jc w:val="right"/>
            </w:pPr>
            <w:r>
              <w:rPr>
                <w:rFonts w:ascii="Arial" w:hAnsi="Arial"/>
                <w:b/>
                <w:sz w:val="20"/>
                <w:szCs w:val="20"/>
              </w:rPr>
              <w:t>Таблица 20.01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10"/>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w:t>
            </w:r>
            <w:r>
              <w:rPr>
                <w:rFonts w:ascii="Arial" w:hAnsi="Arial"/>
                <w:b/>
                <w:sz w:val="18"/>
                <w:szCs w:val="18"/>
              </w:rPr>
              <w:br/>
              <w:t>строки</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31.03.2025 г.</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31.03.2025 г.</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Полная балансовая стоимость на 31.12.2024 г.</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Балансовая стоимость на 31.12.2024 г.</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Расчеты с поставщиками и подрядчиками</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1 028</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1 028</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648</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648</w:t>
            </w:r>
          </w:p>
        </w:tc>
      </w:tr>
      <w:tr w:rsidR="00716B8B">
        <w:trPr>
          <w:gridAfter w:val="1"/>
          <w:wAfter w:w="4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11</w:t>
            </w:r>
          </w:p>
        </w:tc>
        <w:tc>
          <w:tcPr>
            <w:tcW w:w="5280"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1 028</w:t>
            </w:r>
          </w:p>
        </w:tc>
        <w:tc>
          <w:tcPr>
            <w:tcW w:w="23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1 028</w:t>
            </w:r>
          </w:p>
        </w:tc>
        <w:tc>
          <w:tcPr>
            <w:tcW w:w="234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648</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648</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5910"/>
        <w:gridCol w:w="45"/>
        <w:gridCol w:w="2160"/>
        <w:gridCol w:w="2205"/>
        <w:gridCol w:w="15"/>
        <w:gridCol w:w="2190"/>
        <w:gridCol w:w="220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left w:w="105" w:type="dxa"/>
            </w:tcMar>
            <w:vAlign w:val="center"/>
          </w:tcPr>
          <w:p w:rsidR="00716B8B" w:rsidRDefault="005D4FA8">
            <w:pPr>
              <w:spacing w:after="0"/>
              <w:ind w:left="105"/>
            </w:pPr>
            <w:r>
              <w:rPr>
                <w:rFonts w:ascii="Arial" w:hAnsi="Arial"/>
                <w:b/>
                <w:sz w:val="24"/>
                <w:szCs w:val="24"/>
              </w:rPr>
              <w:t>Примечание 24. Финансовые обязательства, оцениваемые по амортизированной стоимости: кредиты, займы и прочие привлеченные средства</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gridSpan w:val="2"/>
            <w:shd w:val="clear" w:color="auto" w:fill="auto"/>
            <w:tcMar>
              <w:left w:w="0" w:type="dxa"/>
            </w:tcMar>
            <w:vAlign w:val="center"/>
          </w:tcPr>
          <w:p w:rsidR="00716B8B" w:rsidRDefault="00716B8B">
            <w:pPr>
              <w:spacing w:after="0"/>
            </w:pPr>
          </w:p>
        </w:tc>
        <w:tc>
          <w:tcPr>
            <w:tcW w:w="4380" w:type="dxa"/>
            <w:gridSpan w:val="3"/>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vAlign w:val="center"/>
          </w:tcPr>
          <w:p w:rsidR="00716B8B" w:rsidRDefault="005D4FA8">
            <w:pPr>
              <w:spacing w:after="0"/>
              <w:jc w:val="center"/>
            </w:pPr>
            <w:r>
              <w:rPr>
                <w:rFonts w:ascii="Arial" w:hAnsi="Arial"/>
                <w:b/>
              </w:rPr>
              <w:t>Кредиты, займы и прочие привлеченные средства, оцениваемые по амортизированной стоимости</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gridSpan w:val="2"/>
            <w:shd w:val="clear" w:color="auto" w:fill="auto"/>
            <w:tcMar>
              <w:left w:w="0" w:type="dxa"/>
            </w:tcMar>
            <w:vAlign w:val="center"/>
          </w:tcPr>
          <w:p w:rsidR="00716B8B" w:rsidRDefault="00716B8B">
            <w:pPr>
              <w:spacing w:after="0"/>
            </w:pPr>
          </w:p>
        </w:tc>
        <w:tc>
          <w:tcPr>
            <w:tcW w:w="4380" w:type="dxa"/>
            <w:gridSpan w:val="3"/>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b/>
                <w:sz w:val="20"/>
                <w:szCs w:val="20"/>
              </w:rPr>
              <w:t>Таблица 24.01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43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43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Обязательства по аренде</w:t>
            </w:r>
          </w:p>
        </w:tc>
        <w:tc>
          <w:tcPr>
            <w:tcW w:w="43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4 799</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4 902</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17</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438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4 799</w:t>
            </w:r>
          </w:p>
        </w:tc>
        <w:tc>
          <w:tcPr>
            <w:tcW w:w="439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4 902</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gridSpan w:val="2"/>
            <w:shd w:val="clear" w:color="auto" w:fill="auto"/>
            <w:tcMar>
              <w:left w:w="0" w:type="dxa"/>
            </w:tcMar>
            <w:vAlign w:val="center"/>
          </w:tcPr>
          <w:p w:rsidR="00716B8B" w:rsidRDefault="00716B8B">
            <w:pPr>
              <w:spacing w:after="0"/>
            </w:pPr>
          </w:p>
        </w:tc>
        <w:tc>
          <w:tcPr>
            <w:tcW w:w="4380" w:type="dxa"/>
            <w:gridSpan w:val="3"/>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vAlign w:val="center"/>
          </w:tcPr>
          <w:p w:rsidR="005D4FA8" w:rsidRDefault="005D4FA8">
            <w:pPr>
              <w:spacing w:after="0"/>
              <w:jc w:val="center"/>
              <w:rPr>
                <w:rFonts w:ascii="Arial" w:hAnsi="Arial"/>
                <w:b/>
              </w:rPr>
            </w:pPr>
          </w:p>
          <w:p w:rsidR="00716B8B" w:rsidRDefault="005D4FA8">
            <w:pPr>
              <w:spacing w:after="0"/>
              <w:jc w:val="center"/>
            </w:pPr>
            <w:r>
              <w:rPr>
                <w:rFonts w:ascii="Arial" w:hAnsi="Arial"/>
                <w:b/>
              </w:rPr>
              <w:t>Анализ процентных ставок и сроков погашения на 31.03.2025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gridSpan w:val="2"/>
            <w:shd w:val="clear" w:color="auto" w:fill="auto"/>
            <w:tcMar>
              <w:left w:w="0" w:type="dxa"/>
            </w:tcMar>
            <w:vAlign w:val="center"/>
          </w:tcPr>
          <w:p w:rsidR="00716B8B" w:rsidRDefault="00716B8B">
            <w:pPr>
              <w:spacing w:after="0"/>
            </w:pPr>
          </w:p>
        </w:tc>
        <w:tc>
          <w:tcPr>
            <w:tcW w:w="4380" w:type="dxa"/>
            <w:gridSpan w:val="3"/>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b/>
                <w:sz w:val="20"/>
                <w:szCs w:val="20"/>
              </w:rPr>
              <w:t>Таблица 24.02</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8"/>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1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Процентные ставки на 31.03.2025 г.</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Сроки погашения на 31.03.2025 г.</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Процентные ставки на 31.12.2024 г.</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Сроки погашения на 31.12.2024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1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6</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w:t>
            </w:r>
          </w:p>
        </w:tc>
        <w:tc>
          <w:tcPr>
            <w:tcW w:w="5910"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Обязательства по аренде</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до 34,49%</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до 857 дней</w:t>
            </w:r>
          </w:p>
        </w:tc>
        <w:tc>
          <w:tcPr>
            <w:tcW w:w="220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до 34,49%</w:t>
            </w:r>
          </w:p>
        </w:tc>
        <w:tc>
          <w:tcPr>
            <w:tcW w:w="22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до 947 дней</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5955"/>
        <w:gridCol w:w="4380"/>
        <w:gridCol w:w="439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left w:w="105" w:type="dxa"/>
            </w:tcMar>
            <w:vAlign w:val="center"/>
          </w:tcPr>
          <w:p w:rsidR="00716B8B" w:rsidRDefault="005D4FA8">
            <w:pPr>
              <w:spacing w:after="0"/>
              <w:ind w:left="105"/>
            </w:pPr>
            <w:r>
              <w:rPr>
                <w:rFonts w:ascii="Arial" w:hAnsi="Arial"/>
                <w:b/>
                <w:sz w:val="24"/>
                <w:szCs w:val="24"/>
              </w:rPr>
              <w:t>Примечание 26. Финансовые обязательства, оцениваемые по амортизированной стоимости: кредиторская задолженность</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shd w:val="clear" w:color="auto" w:fill="auto"/>
            <w:tcMar>
              <w:left w:w="0" w:type="dxa"/>
            </w:tcMar>
            <w:vAlign w:val="center"/>
          </w:tcPr>
          <w:p w:rsidR="00716B8B" w:rsidRDefault="00716B8B">
            <w:pPr>
              <w:spacing w:after="0"/>
            </w:pPr>
          </w:p>
        </w:tc>
        <w:tc>
          <w:tcPr>
            <w:tcW w:w="4380" w:type="dxa"/>
            <w:shd w:val="clear" w:color="auto" w:fill="auto"/>
            <w:tcMar>
              <w:left w:w="0" w:type="dxa"/>
            </w:tcMar>
            <w:vAlign w:val="center"/>
          </w:tcPr>
          <w:p w:rsidR="00716B8B" w:rsidRDefault="00716B8B">
            <w:pPr>
              <w:spacing w:after="0"/>
            </w:pPr>
          </w:p>
        </w:tc>
        <w:tc>
          <w:tcPr>
            <w:tcW w:w="439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vAlign w:val="center"/>
          </w:tcPr>
          <w:p w:rsidR="00716B8B" w:rsidRDefault="005D4FA8">
            <w:pPr>
              <w:spacing w:after="0"/>
              <w:jc w:val="center"/>
            </w:pPr>
            <w:r>
              <w:rPr>
                <w:rFonts w:ascii="Arial" w:hAnsi="Arial"/>
                <w:b/>
              </w:rPr>
              <w:t>Кредиторская задолженность, оцениваемая по амортизированной стоимости</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shd w:val="clear" w:color="auto" w:fill="auto"/>
            <w:tcMar>
              <w:left w:w="0" w:type="dxa"/>
            </w:tcMar>
            <w:vAlign w:val="center"/>
          </w:tcPr>
          <w:p w:rsidR="00716B8B" w:rsidRDefault="00716B8B">
            <w:pPr>
              <w:spacing w:after="0"/>
            </w:pPr>
          </w:p>
        </w:tc>
        <w:tc>
          <w:tcPr>
            <w:tcW w:w="4380" w:type="dxa"/>
            <w:shd w:val="clear" w:color="auto" w:fill="auto"/>
            <w:tcMar>
              <w:left w:w="0" w:type="dxa"/>
            </w:tcMar>
            <w:vAlign w:val="center"/>
          </w:tcPr>
          <w:p w:rsidR="00716B8B" w:rsidRDefault="00716B8B">
            <w:pPr>
              <w:spacing w:after="0"/>
            </w:pPr>
          </w:p>
        </w:tc>
        <w:tc>
          <w:tcPr>
            <w:tcW w:w="439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right w:w="105" w:type="dxa"/>
            </w:tcMar>
            <w:vAlign w:val="center"/>
          </w:tcPr>
          <w:p w:rsidR="00716B8B" w:rsidRDefault="005D4FA8">
            <w:pPr>
              <w:spacing w:after="0"/>
              <w:jc w:val="right"/>
            </w:pPr>
            <w:r>
              <w:rPr>
                <w:rFonts w:ascii="Arial" w:hAnsi="Arial"/>
                <w:b/>
                <w:sz w:val="20"/>
                <w:szCs w:val="20"/>
              </w:rPr>
              <w:t>Таблица 26.01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Кредиторская задолженность по торговым операциям, в том числе: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80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7</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кредиторская задолженность перед клиентами</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21</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Прочее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400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313</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22</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480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313</w:t>
            </w:r>
          </w:p>
        </w:tc>
      </w:tr>
    </w:tbl>
    <w:p w:rsidR="00716B8B" w:rsidRDefault="00716B8B">
      <w:pPr>
        <w:sectPr w:rsidR="00716B8B">
          <w:pgSz w:w="16839" w:h="11907" w:orient="landscape"/>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5955"/>
        <w:gridCol w:w="4380"/>
        <w:gridCol w:w="4395"/>
      </w:tblGrid>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left w:w="105" w:type="dxa"/>
            </w:tcMar>
            <w:vAlign w:val="center"/>
          </w:tcPr>
          <w:p w:rsidR="00716B8B" w:rsidRDefault="005D4FA8">
            <w:pPr>
              <w:spacing w:after="0"/>
              <w:ind w:left="105"/>
            </w:pPr>
            <w:r>
              <w:rPr>
                <w:rFonts w:ascii="Arial" w:hAnsi="Arial"/>
                <w:b/>
                <w:sz w:val="24"/>
                <w:szCs w:val="24"/>
              </w:rPr>
              <w:t>Примечание 29. Прочие обязательства</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shd w:val="clear" w:color="auto" w:fill="auto"/>
            <w:tcMar>
              <w:left w:w="0" w:type="dxa"/>
            </w:tcMar>
            <w:vAlign w:val="center"/>
          </w:tcPr>
          <w:p w:rsidR="00716B8B" w:rsidRDefault="00716B8B">
            <w:pPr>
              <w:spacing w:after="0"/>
            </w:pPr>
          </w:p>
        </w:tc>
        <w:tc>
          <w:tcPr>
            <w:tcW w:w="4380" w:type="dxa"/>
            <w:shd w:val="clear" w:color="auto" w:fill="auto"/>
            <w:tcMar>
              <w:left w:w="0" w:type="dxa"/>
            </w:tcMar>
            <w:vAlign w:val="center"/>
          </w:tcPr>
          <w:p w:rsidR="00716B8B" w:rsidRDefault="00716B8B">
            <w:pPr>
              <w:spacing w:after="0"/>
            </w:pPr>
          </w:p>
        </w:tc>
        <w:tc>
          <w:tcPr>
            <w:tcW w:w="439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vAlign w:val="center"/>
          </w:tcPr>
          <w:p w:rsidR="00716B8B" w:rsidRDefault="005D4FA8">
            <w:pPr>
              <w:spacing w:after="0"/>
              <w:jc w:val="center"/>
            </w:pPr>
            <w:r>
              <w:rPr>
                <w:rFonts w:ascii="Arial" w:hAnsi="Arial"/>
                <w:b/>
              </w:rPr>
              <w:t>Прочие обязательства</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shd w:val="clear" w:color="auto" w:fill="auto"/>
            <w:tcMar>
              <w:left w:w="0" w:type="dxa"/>
            </w:tcMar>
            <w:vAlign w:val="center"/>
          </w:tcPr>
          <w:p w:rsidR="00716B8B" w:rsidRDefault="00716B8B">
            <w:pPr>
              <w:spacing w:after="0"/>
            </w:pPr>
          </w:p>
        </w:tc>
        <w:tc>
          <w:tcPr>
            <w:tcW w:w="4380" w:type="dxa"/>
            <w:shd w:val="clear" w:color="auto" w:fill="auto"/>
            <w:tcMar>
              <w:left w:w="0" w:type="dxa"/>
            </w:tcMar>
            <w:vAlign w:val="center"/>
          </w:tcPr>
          <w:p w:rsidR="00716B8B" w:rsidRDefault="00716B8B">
            <w:pPr>
              <w:spacing w:after="0"/>
            </w:pPr>
          </w:p>
        </w:tc>
        <w:tc>
          <w:tcPr>
            <w:tcW w:w="4395" w:type="dxa"/>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right w:w="105" w:type="dxa"/>
            </w:tcMar>
            <w:vAlign w:val="center"/>
          </w:tcPr>
          <w:p w:rsidR="00716B8B" w:rsidRDefault="005D4FA8">
            <w:pPr>
              <w:spacing w:after="0"/>
              <w:jc w:val="right"/>
            </w:pPr>
            <w:r>
              <w:rPr>
                <w:rFonts w:ascii="Arial" w:hAnsi="Arial"/>
                <w:b/>
                <w:sz w:val="20"/>
                <w:szCs w:val="20"/>
              </w:rPr>
              <w:t>Таблица 29.01</w:t>
            </w:r>
          </w:p>
        </w:tc>
      </w:tr>
      <w:tr w:rsidR="00716B8B">
        <w:trPr>
          <w:cantSplit/>
        </w:trPr>
        <w:tc>
          <w:tcPr>
            <w:tcW w:w="135" w:type="dxa"/>
            <w:shd w:val="clear" w:color="auto" w:fill="auto"/>
            <w:tcMar>
              <w:left w:w="0" w:type="dxa"/>
            </w:tcMar>
            <w:vAlign w:val="center"/>
          </w:tcPr>
          <w:p w:rsidR="00716B8B" w:rsidRDefault="00716B8B">
            <w:pPr>
              <w:spacing w:after="0"/>
            </w:pPr>
          </w:p>
        </w:tc>
        <w:tc>
          <w:tcPr>
            <w:tcW w:w="15465" w:type="dxa"/>
            <w:gridSpan w:val="4"/>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Расчеты с персоналом</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210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3</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Расчеты по социальному страхованию</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144</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138</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4</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Налог на добавленную стоимость, полученный</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87</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Расчеты по налогам и сборам, кроме налога на прибыль</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31</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7</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Резервы по отпускам</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146</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9</w:t>
            </w:r>
          </w:p>
        </w:tc>
        <w:tc>
          <w:tcPr>
            <w:tcW w:w="595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531</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225</w:t>
            </w:r>
          </w:p>
        </w:tc>
      </w:tr>
    </w:tbl>
    <w:p w:rsidR="00716B8B" w:rsidRDefault="00716B8B">
      <w:pPr>
        <w:sectPr w:rsidR="00716B8B">
          <w:pgSz w:w="16839" w:h="11907" w:orient="landscape"/>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34. Процентные доходы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Процентные доходы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34.01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 xml:space="preserve">По </w:t>
            </w:r>
            <w:proofErr w:type="spellStart"/>
            <w:r>
              <w:rPr>
                <w:rFonts w:ascii="Arial" w:hAnsi="Arial"/>
                <w:b/>
                <w:sz w:val="18"/>
                <w:szCs w:val="18"/>
              </w:rPr>
              <w:t>необесцененным</w:t>
            </w:r>
            <w:proofErr w:type="spellEnd"/>
            <w:r>
              <w:rPr>
                <w:rFonts w:ascii="Arial" w:hAnsi="Arial"/>
                <w:b/>
                <w:sz w:val="18"/>
                <w:szCs w:val="18"/>
              </w:rPr>
              <w:t xml:space="preserve"> финансовым активам, в том числе: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4 866</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по финансовым активам, оцениваемым по амортизированной стоимости: средствам в кредитных организациях и банках-нерезидентах</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3 093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9</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1 773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17</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4 866</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40. Выручка от оказания услуг и комиссионные доходы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Выручка от оказания услуг и комиссионные доходы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40.01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716B8B" w:rsidRDefault="00716B8B">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Раздел IV. Выручка от оказания услуг по деятельности депозитария</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716B8B" w:rsidRDefault="00716B8B">
            <w:pPr>
              <w:spacing w:after="0"/>
              <w:jc w:val="center"/>
            </w:pP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Выручка от оказания услуг по ведению счетов депо, хранению и учету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100</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Выручка от оказания услуг по проведению операций по счетам депо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29</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100</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716B8B" w:rsidRDefault="00716B8B">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Раздел VI. Выручка по другим видам деятельности</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716B8B" w:rsidRDefault="00716B8B">
            <w:pPr>
              <w:spacing w:after="0"/>
              <w:jc w:val="center"/>
            </w:pP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38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Выручка от оказания услуг специализированного депозитария по учету, контролю и хранению имущества (за исключением услуг по хранению ценных бумаг)</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1 678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46</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1 678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716B8B" w:rsidRDefault="00716B8B">
            <w:pPr>
              <w:spacing w:after="0"/>
              <w:jc w:val="center"/>
            </w:pPr>
          </w:p>
        </w:tc>
        <w:tc>
          <w:tcPr>
            <w:tcW w:w="5955" w:type="dxa"/>
            <w:gridSpan w:val="2"/>
            <w:tcBorders>
              <w:top w:val="single" w:sz="5" w:space="0" w:color="auto"/>
              <w:left w:val="none" w:sz="5" w:space="0" w:color="auto"/>
              <w:bottom w:val="single" w:sz="5" w:space="0" w:color="auto"/>
              <w:right w:val="non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Раздел VII. Прочие доходы по основному виду деятельности</w:t>
            </w:r>
          </w:p>
        </w:tc>
        <w:tc>
          <w:tcPr>
            <w:tcW w:w="3720" w:type="dxa"/>
            <w:gridSpan w:val="2"/>
            <w:tcBorders>
              <w:top w:val="single" w:sz="5" w:space="0" w:color="auto"/>
              <w:left w:val="none" w:sz="5" w:space="0" w:color="auto"/>
              <w:bottom w:val="single" w:sz="5" w:space="0" w:color="auto"/>
              <w:right w:val="none" w:sz="5" w:space="0" w:color="auto"/>
            </w:tcBorders>
            <w:shd w:val="clear" w:color="auto" w:fill="auto"/>
            <w:vAlign w:val="center"/>
          </w:tcPr>
          <w:p w:rsidR="00716B8B" w:rsidRDefault="00716B8B">
            <w:pPr>
              <w:spacing w:after="0"/>
              <w:jc w:val="center"/>
            </w:pP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925</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925</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55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Всего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2 703</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41. Расходы на персонал</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Расходы на персонал</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41.01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по выплате краткосрочных вознаграждений работникам</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1 166</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Страховые взносы с выплат вознаграждений работникам</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298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1 463</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42. Прямые операционные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Прямые операционные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42.01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на услуги депозитариев и регистраторов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16</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18</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43. Процентные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Процентные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43.01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По обязательствам по аренде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353</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45. Общие и административные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Общие и административные расходы</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45.01</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на информационно-телекоммуникационные услуги</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Амортизация основных средств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492</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Амортизация нематериальных активов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846</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по аренде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по операциям с основными средствами, нематериальными активами и капитальными вложениями в объекты основных средств и нематериальных активов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на юридические, консультационные услуги и аудит</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138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Транспортные расходы</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26</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14</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Неустойки (штрафы, пени)</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Расходы на услуги кредитных организаций и банков-нерезидентов</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12</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18</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Прочее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3 078</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4C033A">
            <w:pPr>
              <w:spacing w:after="0"/>
              <w:jc w:val="center"/>
            </w:pPr>
            <w:r>
              <w:rPr>
                <w:rFonts w:ascii="Arial" w:hAnsi="Arial"/>
                <w:sz w:val="18"/>
                <w:szCs w:val="18"/>
              </w:rPr>
              <w:t>19</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4 714</w:t>
            </w:r>
          </w:p>
        </w:tc>
      </w:tr>
    </w:tbl>
    <w:p w:rsidR="00716B8B" w:rsidRDefault="00716B8B">
      <w:pPr>
        <w:sectPr w:rsidR="00716B8B">
          <w:pgSz w:w="11907" w:h="16839"/>
          <w:pgMar w:top="567" w:right="567" w:bottom="567" w:left="567" w:header="720" w:footer="720" w:gutter="0"/>
          <w:cols w:space="720"/>
        </w:sectPr>
      </w:pPr>
    </w:p>
    <w:tbl>
      <w:tblPr>
        <w:tblW w:w="10560" w:type="dxa"/>
        <w:tblLayout w:type="fixed"/>
        <w:tblCellMar>
          <w:left w:w="0" w:type="dxa"/>
          <w:right w:w="0" w:type="dxa"/>
        </w:tblCellMar>
        <w:tblLook w:val="04A0" w:firstRow="1" w:lastRow="0" w:firstColumn="1" w:lastColumn="0" w:noHBand="0" w:noVBand="1"/>
      </w:tblPr>
      <w:tblGrid>
        <w:gridCol w:w="135"/>
        <w:gridCol w:w="735"/>
        <w:gridCol w:w="4305"/>
        <w:gridCol w:w="1650"/>
        <w:gridCol w:w="1035"/>
        <w:gridCol w:w="2685"/>
        <w:gridCol w:w="15"/>
      </w:tblGrid>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left w:w="105" w:type="dxa"/>
            </w:tcMar>
            <w:vAlign w:val="center"/>
          </w:tcPr>
          <w:p w:rsidR="00716B8B" w:rsidRDefault="005D4FA8">
            <w:pPr>
              <w:spacing w:after="0"/>
              <w:ind w:left="105"/>
            </w:pPr>
            <w:r>
              <w:rPr>
                <w:rFonts w:ascii="Arial" w:hAnsi="Arial"/>
                <w:b/>
                <w:sz w:val="24"/>
                <w:szCs w:val="24"/>
              </w:rPr>
              <w:t>Примечание 47. Аренда</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Активы и обязательства по договорам аренды, в соответствии с условиями которых организация является арендатором</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47.02</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31.03.2025 г.</w:t>
            </w:r>
          </w:p>
        </w:tc>
        <w:tc>
          <w:tcPr>
            <w:tcW w:w="27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 31.12.2024 г.</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c>
          <w:tcPr>
            <w:tcW w:w="27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Основные средства и капитальные вложения в них</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4 496</w:t>
            </w:r>
          </w:p>
        </w:tc>
        <w:tc>
          <w:tcPr>
            <w:tcW w:w="27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4 957</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Финансовые обязательства, оцениваемые по амортизированной стоимости: кредиты, займы и прочие привлеченные средства</w:t>
            </w:r>
          </w:p>
        </w:tc>
        <w:tc>
          <w:tcPr>
            <w:tcW w:w="268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4 799</w:t>
            </w:r>
          </w:p>
        </w:tc>
        <w:tc>
          <w:tcPr>
            <w:tcW w:w="270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4 902</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vAlign w:val="center"/>
          </w:tcPr>
          <w:p w:rsidR="00716B8B" w:rsidRDefault="005D4FA8">
            <w:pPr>
              <w:spacing w:after="0"/>
              <w:jc w:val="center"/>
            </w:pPr>
            <w:r>
              <w:rPr>
                <w:rFonts w:ascii="Arial" w:hAnsi="Arial"/>
                <w:b/>
              </w:rPr>
              <w:t>Денежные потоки по договорам аренды, в соответствии с условиями которых организация является арендатором</w:t>
            </w:r>
          </w:p>
        </w:tc>
      </w:tr>
      <w:tr w:rsidR="00716B8B">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4305" w:type="dxa"/>
            <w:shd w:val="clear" w:color="auto" w:fill="auto"/>
            <w:tcMar>
              <w:left w:w="0" w:type="dxa"/>
            </w:tcMar>
            <w:vAlign w:val="center"/>
          </w:tcPr>
          <w:p w:rsidR="00716B8B" w:rsidRDefault="00716B8B">
            <w:pPr>
              <w:spacing w:after="0"/>
            </w:pPr>
          </w:p>
        </w:tc>
        <w:tc>
          <w:tcPr>
            <w:tcW w:w="2685" w:type="dxa"/>
            <w:gridSpan w:val="2"/>
            <w:shd w:val="clear" w:color="auto" w:fill="auto"/>
            <w:tcMar>
              <w:left w:w="0" w:type="dxa"/>
            </w:tcMar>
            <w:vAlign w:val="center"/>
          </w:tcPr>
          <w:p w:rsidR="00716B8B" w:rsidRDefault="00716B8B">
            <w:pPr>
              <w:spacing w:after="0"/>
            </w:pPr>
          </w:p>
        </w:tc>
        <w:tc>
          <w:tcPr>
            <w:tcW w:w="2700" w:type="dxa"/>
            <w:gridSpan w:val="2"/>
            <w:shd w:val="clear" w:color="auto" w:fill="auto"/>
            <w:tcMar>
              <w:left w:w="0" w:type="dxa"/>
            </w:tcMar>
            <w:vAlign w:val="center"/>
          </w:tcPr>
          <w:p w:rsidR="00716B8B" w:rsidRDefault="00716B8B">
            <w:pPr>
              <w:spacing w:after="0"/>
            </w:pP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b/>
                <w:sz w:val="20"/>
                <w:szCs w:val="20"/>
              </w:rPr>
              <w:t>Таблица 47.03</w:t>
            </w:r>
          </w:p>
        </w:tc>
      </w:tr>
      <w:tr w:rsidR="00716B8B">
        <w:trPr>
          <w:cantSplit/>
        </w:trPr>
        <w:tc>
          <w:tcPr>
            <w:tcW w:w="135" w:type="dxa"/>
            <w:shd w:val="clear" w:color="auto" w:fill="auto"/>
            <w:tcMar>
              <w:left w:w="0" w:type="dxa"/>
            </w:tcMar>
            <w:vAlign w:val="center"/>
          </w:tcPr>
          <w:p w:rsidR="00716B8B" w:rsidRDefault="00716B8B">
            <w:pPr>
              <w:spacing w:after="0"/>
            </w:pPr>
          </w:p>
        </w:tc>
        <w:tc>
          <w:tcPr>
            <w:tcW w:w="10425" w:type="dxa"/>
            <w:gridSpan w:val="6"/>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Денежные потоки от операционной деятельности, в том числе: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353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проценты уплаченные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353</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Денежные потоки от финансовой деятельности, в том числе:</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114</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платежи в погашение обязательств по договорам аренды</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114</w:t>
            </w:r>
          </w:p>
        </w:tc>
      </w:tr>
      <w:tr w:rsidR="00716B8B">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7</w:t>
            </w:r>
          </w:p>
        </w:tc>
        <w:tc>
          <w:tcPr>
            <w:tcW w:w="5955" w:type="dxa"/>
            <w:gridSpan w:val="2"/>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w:t>
            </w:r>
          </w:p>
        </w:tc>
        <w:tc>
          <w:tcPr>
            <w:tcW w:w="372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467</w:t>
            </w:r>
          </w:p>
        </w:tc>
      </w:tr>
    </w:tbl>
    <w:p w:rsidR="00716B8B" w:rsidRDefault="00716B8B">
      <w:pPr>
        <w:sectPr w:rsidR="00716B8B">
          <w:pgSz w:w="11907" w:h="16839"/>
          <w:pgMar w:top="567" w:right="567" w:bottom="567" w:left="567" w:header="720" w:footer="720" w:gutter="0"/>
          <w:cols w:space="720"/>
        </w:sectPr>
      </w:pPr>
    </w:p>
    <w:tbl>
      <w:tblPr>
        <w:tblW w:w="15600" w:type="dxa"/>
        <w:tblLayout w:type="fixed"/>
        <w:tblCellMar>
          <w:left w:w="0" w:type="dxa"/>
          <w:right w:w="0" w:type="dxa"/>
        </w:tblCellMar>
        <w:tblLook w:val="04A0" w:firstRow="1" w:lastRow="0" w:firstColumn="1" w:lastColumn="0" w:noHBand="0" w:noVBand="1"/>
      </w:tblPr>
      <w:tblGrid>
        <w:gridCol w:w="135"/>
        <w:gridCol w:w="735"/>
        <w:gridCol w:w="1393"/>
        <w:gridCol w:w="212"/>
        <w:gridCol w:w="2553"/>
        <w:gridCol w:w="213"/>
        <w:gridCol w:w="1584"/>
        <w:gridCol w:w="969"/>
        <w:gridCol w:w="213"/>
        <w:gridCol w:w="1338"/>
        <w:gridCol w:w="1215"/>
        <w:gridCol w:w="645"/>
        <w:gridCol w:w="4380"/>
        <w:gridCol w:w="15"/>
      </w:tblGrid>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tcMar>
              <w:left w:w="105" w:type="dxa"/>
            </w:tcMar>
            <w:vAlign w:val="center"/>
          </w:tcPr>
          <w:p w:rsidR="00716B8B" w:rsidRDefault="005D4FA8">
            <w:pPr>
              <w:spacing w:after="0"/>
              <w:ind w:left="105"/>
            </w:pPr>
            <w:r>
              <w:rPr>
                <w:rFonts w:ascii="Arial" w:hAnsi="Arial"/>
                <w:b/>
                <w:sz w:val="24"/>
                <w:szCs w:val="24"/>
              </w:rPr>
              <w:t>Примечание 48. Налог на прибыль</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gridSpan w:val="5"/>
            <w:shd w:val="clear" w:color="auto" w:fill="auto"/>
            <w:tcMar>
              <w:left w:w="0" w:type="dxa"/>
            </w:tcMar>
            <w:vAlign w:val="center"/>
          </w:tcPr>
          <w:p w:rsidR="00716B8B" w:rsidRDefault="00716B8B">
            <w:pPr>
              <w:spacing w:after="0"/>
            </w:pPr>
          </w:p>
        </w:tc>
        <w:tc>
          <w:tcPr>
            <w:tcW w:w="4380" w:type="dxa"/>
            <w:gridSpan w:val="5"/>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vAlign w:val="center"/>
          </w:tcPr>
          <w:p w:rsidR="00716B8B" w:rsidRDefault="005D4FA8">
            <w:pPr>
              <w:spacing w:after="0"/>
              <w:jc w:val="center"/>
            </w:pPr>
            <w:r>
              <w:rPr>
                <w:rFonts w:ascii="Arial" w:hAnsi="Arial"/>
                <w:b/>
              </w:rPr>
              <w:t>Налог на прибыль в разрезе компонентов</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gridSpan w:val="5"/>
            <w:shd w:val="clear" w:color="auto" w:fill="auto"/>
            <w:tcMar>
              <w:left w:w="0" w:type="dxa"/>
            </w:tcMar>
            <w:vAlign w:val="center"/>
          </w:tcPr>
          <w:p w:rsidR="00716B8B" w:rsidRDefault="00716B8B">
            <w:pPr>
              <w:spacing w:after="0"/>
            </w:pPr>
          </w:p>
        </w:tc>
        <w:tc>
          <w:tcPr>
            <w:tcW w:w="4380" w:type="dxa"/>
            <w:gridSpan w:val="5"/>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tcMar>
              <w:right w:w="105" w:type="dxa"/>
            </w:tcMar>
            <w:vAlign w:val="center"/>
          </w:tcPr>
          <w:p w:rsidR="00716B8B" w:rsidRDefault="005D4FA8">
            <w:pPr>
              <w:spacing w:after="0"/>
              <w:jc w:val="right"/>
            </w:pPr>
            <w:r>
              <w:rPr>
                <w:rFonts w:ascii="Arial" w:hAnsi="Arial"/>
                <w:b/>
                <w:sz w:val="20"/>
                <w:szCs w:val="20"/>
              </w:rPr>
              <w:t>Таблица 48.01</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Расход (доход) по текущему налогу на прибыль</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338</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Изменение отложенного налогового обязательства (актива)</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(83)</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Итого налог на прибыль, в том числе:</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256</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6</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налог на прибыль, отраженный в составе прибыли или убытка</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256</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vAlign w:val="center"/>
          </w:tcPr>
          <w:p w:rsidR="00716B8B" w:rsidRDefault="00716B8B">
            <w:pPr>
              <w:spacing w:after="0"/>
              <w:jc w:val="center"/>
            </w:pPr>
          </w:p>
        </w:tc>
        <w:tc>
          <w:tcPr>
            <w:tcW w:w="5955" w:type="dxa"/>
            <w:gridSpan w:val="5"/>
            <w:shd w:val="clear" w:color="auto" w:fill="auto"/>
            <w:tcMar>
              <w:left w:w="0" w:type="dxa"/>
            </w:tcMar>
            <w:vAlign w:val="center"/>
          </w:tcPr>
          <w:p w:rsidR="00716B8B" w:rsidRDefault="00716B8B">
            <w:pPr>
              <w:spacing w:after="0"/>
            </w:pPr>
          </w:p>
        </w:tc>
        <w:tc>
          <w:tcPr>
            <w:tcW w:w="4380" w:type="dxa"/>
            <w:gridSpan w:val="5"/>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vAlign w:val="center"/>
          </w:tcPr>
          <w:p w:rsidR="00716B8B" w:rsidRDefault="005D4FA8">
            <w:pPr>
              <w:spacing w:after="0"/>
              <w:jc w:val="center"/>
            </w:pPr>
            <w:r>
              <w:rPr>
                <w:rFonts w:ascii="Arial" w:hAnsi="Arial"/>
                <w:b/>
              </w:rPr>
              <w:t>Сопоставление условного расхода (дохода) по налогу на прибыль с фактическим расходом (доходом) по налогу на прибыль</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735" w:type="dxa"/>
            <w:shd w:val="clear" w:color="auto" w:fill="auto"/>
            <w:tcMar>
              <w:right w:w="105" w:type="dxa"/>
            </w:tcMar>
            <w:vAlign w:val="center"/>
          </w:tcPr>
          <w:p w:rsidR="00716B8B" w:rsidRDefault="00716B8B">
            <w:pPr>
              <w:spacing w:after="0"/>
              <w:jc w:val="right"/>
            </w:pPr>
          </w:p>
        </w:tc>
        <w:tc>
          <w:tcPr>
            <w:tcW w:w="5955" w:type="dxa"/>
            <w:gridSpan w:val="5"/>
            <w:shd w:val="clear" w:color="auto" w:fill="auto"/>
            <w:tcMar>
              <w:left w:w="0" w:type="dxa"/>
            </w:tcMar>
            <w:vAlign w:val="center"/>
          </w:tcPr>
          <w:p w:rsidR="00716B8B" w:rsidRDefault="00716B8B">
            <w:pPr>
              <w:spacing w:after="0"/>
            </w:pPr>
          </w:p>
        </w:tc>
        <w:tc>
          <w:tcPr>
            <w:tcW w:w="4380" w:type="dxa"/>
            <w:gridSpan w:val="5"/>
            <w:shd w:val="clear" w:color="auto" w:fill="auto"/>
            <w:tcMar>
              <w:left w:w="0" w:type="dxa"/>
            </w:tcMar>
            <w:vAlign w:val="center"/>
          </w:tcPr>
          <w:p w:rsidR="00716B8B" w:rsidRDefault="00716B8B">
            <w:pPr>
              <w:spacing w:after="0"/>
            </w:pPr>
          </w:p>
        </w:tc>
        <w:tc>
          <w:tcPr>
            <w:tcW w:w="4395" w:type="dxa"/>
            <w:gridSpan w:val="2"/>
            <w:shd w:val="clear" w:color="auto" w:fill="auto"/>
            <w:tcMar>
              <w:left w:w="0" w:type="dxa"/>
            </w:tcMar>
            <w:vAlign w:val="center"/>
          </w:tcPr>
          <w:p w:rsidR="00716B8B" w:rsidRDefault="00716B8B">
            <w:pPr>
              <w:spacing w:after="0"/>
            </w:pP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tcMar>
              <w:right w:w="105" w:type="dxa"/>
            </w:tcMar>
            <w:vAlign w:val="center"/>
          </w:tcPr>
          <w:p w:rsidR="00716B8B" w:rsidRDefault="005D4FA8">
            <w:pPr>
              <w:spacing w:after="0"/>
              <w:jc w:val="right"/>
            </w:pPr>
            <w:r>
              <w:rPr>
                <w:rFonts w:ascii="Arial" w:hAnsi="Arial"/>
                <w:b/>
                <w:sz w:val="20"/>
                <w:szCs w:val="20"/>
              </w:rPr>
              <w:t>Таблица 48.02</w:t>
            </w:r>
          </w:p>
        </w:tc>
      </w:tr>
      <w:tr w:rsidR="00716B8B" w:rsidTr="00B27BD8">
        <w:trPr>
          <w:cantSplit/>
        </w:trPr>
        <w:tc>
          <w:tcPr>
            <w:tcW w:w="135" w:type="dxa"/>
            <w:shd w:val="clear" w:color="auto" w:fill="auto"/>
            <w:tcMar>
              <w:left w:w="0" w:type="dxa"/>
            </w:tcMar>
            <w:vAlign w:val="center"/>
          </w:tcPr>
          <w:p w:rsidR="00716B8B" w:rsidRDefault="00716B8B">
            <w:pPr>
              <w:spacing w:after="0"/>
            </w:pPr>
          </w:p>
        </w:tc>
        <w:tc>
          <w:tcPr>
            <w:tcW w:w="15465" w:type="dxa"/>
            <w:gridSpan w:val="13"/>
            <w:shd w:val="clear" w:color="auto" w:fill="auto"/>
            <w:tcMar>
              <w:right w:w="105" w:type="dxa"/>
            </w:tcMar>
            <w:vAlign w:val="center"/>
          </w:tcPr>
          <w:p w:rsidR="00716B8B" w:rsidRDefault="005D4FA8">
            <w:pPr>
              <w:spacing w:after="0"/>
              <w:jc w:val="right"/>
            </w:pPr>
            <w:r>
              <w:rPr>
                <w:rFonts w:ascii="Arial" w:hAnsi="Arial"/>
                <w:sz w:val="18"/>
                <w:szCs w:val="18"/>
              </w:rPr>
              <w:t>тыс. руб.</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Номер строки</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Наименование показателя</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За 1 квартал 2025 г.</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1</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2</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3</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Прибыль (убыток) до налогообложения</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1 022</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Условный расход (доход) по налогу на прибыль</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256</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3</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b/>
                <w:sz w:val="18"/>
                <w:szCs w:val="18"/>
              </w:rPr>
              <w:t>Корректировки на сумму доходов или расходов, не принимаемых к налогообложению в соответствии с законодательством Российской Федерации о налогах и сборах, в том числе:</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b/>
                <w:sz w:val="18"/>
                <w:szCs w:val="18"/>
              </w:rPr>
              <w:t>-</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4</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210" w:type="dxa"/>
            </w:tcMar>
            <w:vAlign w:val="center"/>
          </w:tcPr>
          <w:p w:rsidR="00716B8B" w:rsidRDefault="005D4FA8">
            <w:pPr>
              <w:spacing w:after="0"/>
              <w:ind w:left="210"/>
            </w:pPr>
            <w:r>
              <w:rPr>
                <w:rFonts w:ascii="Arial" w:hAnsi="Arial"/>
                <w:sz w:val="18"/>
                <w:szCs w:val="18"/>
              </w:rPr>
              <w:t>расходы, не принимаемые к налогообложению</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w:t>
            </w:r>
          </w:p>
        </w:tc>
      </w:tr>
      <w:tr w:rsidR="00716B8B" w:rsidTr="00B27BD8">
        <w:trPr>
          <w:gridAfter w:val="1"/>
          <w:wAfter w:w="15" w:type="dxa"/>
          <w:cantSplit/>
        </w:trPr>
        <w:tc>
          <w:tcPr>
            <w:tcW w:w="135" w:type="dxa"/>
            <w:shd w:val="clear" w:color="auto" w:fill="auto"/>
            <w:tcMar>
              <w:left w:w="0" w:type="dxa"/>
            </w:tcMar>
            <w:vAlign w:val="center"/>
          </w:tcPr>
          <w:p w:rsidR="00716B8B" w:rsidRDefault="00716B8B">
            <w:pPr>
              <w:spacing w:after="0"/>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5</w:t>
            </w:r>
          </w:p>
        </w:tc>
        <w:tc>
          <w:tcPr>
            <w:tcW w:w="8475" w:type="dxa"/>
            <w:gridSpan w:val="8"/>
            <w:tcBorders>
              <w:top w:val="single" w:sz="5" w:space="0" w:color="auto"/>
              <w:left w:val="single" w:sz="5" w:space="0" w:color="auto"/>
              <w:bottom w:val="single" w:sz="5" w:space="0" w:color="auto"/>
              <w:right w:val="single" w:sz="5" w:space="0" w:color="auto"/>
            </w:tcBorders>
            <w:shd w:val="clear" w:color="auto" w:fill="auto"/>
            <w:tcMar>
              <w:left w:w="105" w:type="dxa"/>
            </w:tcMar>
            <w:vAlign w:val="center"/>
          </w:tcPr>
          <w:p w:rsidR="00716B8B" w:rsidRDefault="005D4FA8">
            <w:pPr>
              <w:spacing w:after="0"/>
              <w:ind w:left="105"/>
            </w:pPr>
            <w:r>
              <w:rPr>
                <w:rFonts w:ascii="Arial" w:hAnsi="Arial"/>
                <w:sz w:val="18"/>
                <w:szCs w:val="18"/>
              </w:rPr>
              <w:t>Налог на прибыль, отраженный в составе прибыли или убытка</w:t>
            </w:r>
          </w:p>
        </w:tc>
        <w:tc>
          <w:tcPr>
            <w:tcW w:w="6240"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16B8B" w:rsidRDefault="005D4FA8">
            <w:pPr>
              <w:spacing w:after="0"/>
              <w:jc w:val="center"/>
            </w:pPr>
            <w:r>
              <w:rPr>
                <w:rFonts w:ascii="Arial" w:hAnsi="Arial"/>
                <w:sz w:val="18"/>
                <w:szCs w:val="18"/>
              </w:rPr>
              <w:t>256</w:t>
            </w:r>
          </w:p>
        </w:tc>
      </w:tr>
      <w:tr w:rsidR="005D4FA8" w:rsidTr="00B27BD8">
        <w:trPr>
          <w:gridAfter w:val="3"/>
          <w:wAfter w:w="5040" w:type="dxa"/>
          <w:cantSplit/>
        </w:trPr>
        <w:tc>
          <w:tcPr>
            <w:tcW w:w="2263" w:type="dxa"/>
            <w:gridSpan w:val="3"/>
            <w:tcBorders>
              <w:bottom w:val="single" w:sz="5" w:space="0" w:color="auto"/>
            </w:tcBorders>
            <w:shd w:val="clear" w:color="auto" w:fill="auto"/>
            <w:vAlign w:val="center"/>
          </w:tcPr>
          <w:p w:rsidR="00B27BD8" w:rsidRDefault="00B27BD8" w:rsidP="005D4FA8">
            <w:pPr>
              <w:spacing w:after="0"/>
              <w:jc w:val="center"/>
              <w:rPr>
                <w:rFonts w:ascii="Arial" w:hAnsi="Arial"/>
                <w:sz w:val="18"/>
                <w:szCs w:val="18"/>
              </w:rPr>
            </w:pPr>
          </w:p>
          <w:p w:rsidR="00B27BD8" w:rsidRDefault="00B27BD8" w:rsidP="005D4FA8">
            <w:pPr>
              <w:spacing w:after="0"/>
              <w:jc w:val="center"/>
              <w:rPr>
                <w:rFonts w:ascii="Arial" w:hAnsi="Arial"/>
                <w:sz w:val="18"/>
                <w:szCs w:val="18"/>
              </w:rPr>
            </w:pPr>
          </w:p>
          <w:p w:rsidR="00B27BD8" w:rsidRDefault="00B27BD8" w:rsidP="005D4FA8">
            <w:pPr>
              <w:spacing w:after="0"/>
              <w:jc w:val="center"/>
              <w:rPr>
                <w:rFonts w:ascii="Arial" w:hAnsi="Arial"/>
                <w:sz w:val="18"/>
                <w:szCs w:val="18"/>
              </w:rPr>
            </w:pPr>
          </w:p>
          <w:p w:rsidR="005D4FA8" w:rsidRDefault="005D4FA8" w:rsidP="005D4FA8">
            <w:pPr>
              <w:spacing w:after="0"/>
              <w:jc w:val="center"/>
            </w:pPr>
            <w:r>
              <w:rPr>
                <w:rFonts w:ascii="Arial" w:hAnsi="Arial"/>
                <w:sz w:val="18"/>
                <w:szCs w:val="18"/>
              </w:rPr>
              <w:t>Генеральный директор</w:t>
            </w:r>
          </w:p>
        </w:tc>
        <w:tc>
          <w:tcPr>
            <w:tcW w:w="212" w:type="dxa"/>
            <w:shd w:val="clear" w:color="auto" w:fill="auto"/>
            <w:vAlign w:val="center"/>
          </w:tcPr>
          <w:p w:rsidR="005D4FA8" w:rsidRDefault="005D4FA8" w:rsidP="005D4FA8">
            <w:pPr>
              <w:spacing w:after="0"/>
              <w:jc w:val="center"/>
            </w:pPr>
          </w:p>
        </w:tc>
        <w:tc>
          <w:tcPr>
            <w:tcW w:w="2553" w:type="dxa"/>
            <w:tcBorders>
              <w:bottom w:val="single" w:sz="5" w:space="0" w:color="auto"/>
            </w:tcBorders>
            <w:shd w:val="clear" w:color="auto" w:fill="auto"/>
            <w:vAlign w:val="center"/>
          </w:tcPr>
          <w:p w:rsidR="005D4FA8" w:rsidRDefault="005D4FA8" w:rsidP="005D4FA8">
            <w:pPr>
              <w:spacing w:after="0"/>
              <w:jc w:val="center"/>
            </w:pPr>
          </w:p>
        </w:tc>
        <w:tc>
          <w:tcPr>
            <w:tcW w:w="213" w:type="dxa"/>
            <w:shd w:val="clear" w:color="auto" w:fill="auto"/>
            <w:vAlign w:val="center"/>
          </w:tcPr>
          <w:p w:rsidR="005D4FA8" w:rsidRDefault="005D4FA8" w:rsidP="005D4FA8">
            <w:pPr>
              <w:spacing w:after="0"/>
              <w:jc w:val="center"/>
            </w:pPr>
          </w:p>
        </w:tc>
        <w:tc>
          <w:tcPr>
            <w:tcW w:w="2553" w:type="dxa"/>
            <w:gridSpan w:val="2"/>
            <w:tcBorders>
              <w:bottom w:val="single" w:sz="5" w:space="0" w:color="auto"/>
            </w:tcBorders>
            <w:shd w:val="clear" w:color="auto" w:fill="auto"/>
            <w:vAlign w:val="center"/>
          </w:tcPr>
          <w:p w:rsidR="005D4FA8" w:rsidRDefault="005D4FA8" w:rsidP="00EE28B0">
            <w:pPr>
              <w:spacing w:after="0"/>
            </w:pPr>
          </w:p>
        </w:tc>
        <w:tc>
          <w:tcPr>
            <w:tcW w:w="213" w:type="dxa"/>
            <w:shd w:val="clear" w:color="auto" w:fill="auto"/>
            <w:vAlign w:val="center"/>
          </w:tcPr>
          <w:p w:rsidR="005D4FA8" w:rsidRDefault="005D4FA8" w:rsidP="005D4FA8">
            <w:pPr>
              <w:spacing w:after="0"/>
              <w:jc w:val="center"/>
            </w:pPr>
          </w:p>
        </w:tc>
        <w:tc>
          <w:tcPr>
            <w:tcW w:w="2553" w:type="dxa"/>
            <w:gridSpan w:val="2"/>
            <w:shd w:val="clear" w:color="auto" w:fill="auto"/>
            <w:tcMar>
              <w:left w:w="0" w:type="dxa"/>
            </w:tcMar>
            <w:vAlign w:val="center"/>
          </w:tcPr>
          <w:p w:rsidR="005D4FA8" w:rsidRDefault="005D4FA8" w:rsidP="005D4FA8">
            <w:pPr>
              <w:spacing w:after="0"/>
            </w:pPr>
          </w:p>
        </w:tc>
      </w:tr>
      <w:tr w:rsidR="005D4FA8" w:rsidTr="00B27BD8">
        <w:trPr>
          <w:gridAfter w:val="3"/>
          <w:wAfter w:w="5040" w:type="dxa"/>
          <w:cantSplit/>
        </w:trPr>
        <w:tc>
          <w:tcPr>
            <w:tcW w:w="2263" w:type="dxa"/>
            <w:gridSpan w:val="3"/>
            <w:tcBorders>
              <w:top w:val="single" w:sz="5" w:space="0" w:color="auto"/>
            </w:tcBorders>
            <w:shd w:val="clear" w:color="auto" w:fill="auto"/>
          </w:tcPr>
          <w:p w:rsidR="005D4FA8" w:rsidRDefault="005D4FA8" w:rsidP="005D4FA8">
            <w:pPr>
              <w:spacing w:after="0"/>
              <w:jc w:val="center"/>
            </w:pPr>
            <w:r>
              <w:rPr>
                <w:rFonts w:ascii="Arial" w:hAnsi="Arial"/>
                <w:sz w:val="18"/>
                <w:szCs w:val="18"/>
              </w:rPr>
              <w:t>(должность)</w:t>
            </w:r>
          </w:p>
        </w:tc>
        <w:tc>
          <w:tcPr>
            <w:tcW w:w="212" w:type="dxa"/>
            <w:shd w:val="clear" w:color="auto" w:fill="auto"/>
            <w:tcMar>
              <w:left w:w="0" w:type="dxa"/>
            </w:tcMar>
            <w:vAlign w:val="center"/>
          </w:tcPr>
          <w:p w:rsidR="005D4FA8" w:rsidRDefault="005D4FA8" w:rsidP="005D4FA8">
            <w:pPr>
              <w:spacing w:after="0"/>
            </w:pPr>
          </w:p>
        </w:tc>
        <w:tc>
          <w:tcPr>
            <w:tcW w:w="2553" w:type="dxa"/>
            <w:tcBorders>
              <w:top w:val="single" w:sz="5" w:space="0" w:color="auto"/>
            </w:tcBorders>
            <w:shd w:val="clear" w:color="auto" w:fill="auto"/>
          </w:tcPr>
          <w:p w:rsidR="005D4FA8" w:rsidRDefault="005D4FA8" w:rsidP="005D4FA8">
            <w:pPr>
              <w:spacing w:after="0"/>
              <w:jc w:val="center"/>
            </w:pPr>
            <w:r>
              <w:rPr>
                <w:rFonts w:ascii="Arial" w:hAnsi="Arial"/>
                <w:sz w:val="18"/>
                <w:szCs w:val="18"/>
              </w:rPr>
              <w:t>(подпись)</w:t>
            </w:r>
          </w:p>
        </w:tc>
        <w:tc>
          <w:tcPr>
            <w:tcW w:w="213" w:type="dxa"/>
            <w:shd w:val="clear" w:color="auto" w:fill="auto"/>
            <w:tcMar>
              <w:left w:w="0" w:type="dxa"/>
            </w:tcMar>
            <w:vAlign w:val="center"/>
          </w:tcPr>
          <w:p w:rsidR="005D4FA8" w:rsidRDefault="005D4FA8" w:rsidP="005D4FA8">
            <w:pPr>
              <w:spacing w:after="0"/>
            </w:pPr>
          </w:p>
        </w:tc>
        <w:tc>
          <w:tcPr>
            <w:tcW w:w="2553" w:type="dxa"/>
            <w:gridSpan w:val="2"/>
            <w:tcBorders>
              <w:top w:val="single" w:sz="5" w:space="0" w:color="auto"/>
            </w:tcBorders>
            <w:shd w:val="clear" w:color="auto" w:fill="auto"/>
            <w:vAlign w:val="center"/>
          </w:tcPr>
          <w:p w:rsidR="005D4FA8" w:rsidRDefault="005D4FA8" w:rsidP="005D4FA8">
            <w:pPr>
              <w:spacing w:after="0"/>
              <w:jc w:val="center"/>
            </w:pPr>
            <w:r>
              <w:rPr>
                <w:rFonts w:ascii="Arial" w:hAnsi="Arial"/>
                <w:sz w:val="18"/>
                <w:szCs w:val="18"/>
              </w:rPr>
              <w:t>Фамилия, имя, отчество (последнее – при наличии)</w:t>
            </w:r>
          </w:p>
        </w:tc>
        <w:tc>
          <w:tcPr>
            <w:tcW w:w="213" w:type="dxa"/>
            <w:shd w:val="clear" w:color="auto" w:fill="auto"/>
            <w:tcMar>
              <w:left w:w="0" w:type="dxa"/>
            </w:tcMar>
            <w:vAlign w:val="center"/>
          </w:tcPr>
          <w:p w:rsidR="005D4FA8" w:rsidRDefault="005D4FA8" w:rsidP="005D4FA8">
            <w:pPr>
              <w:spacing w:after="0"/>
            </w:pPr>
          </w:p>
        </w:tc>
        <w:tc>
          <w:tcPr>
            <w:tcW w:w="2553" w:type="dxa"/>
            <w:gridSpan w:val="2"/>
            <w:shd w:val="clear" w:color="auto" w:fill="auto"/>
            <w:tcMar>
              <w:left w:w="0" w:type="dxa"/>
            </w:tcMar>
            <w:vAlign w:val="center"/>
          </w:tcPr>
          <w:p w:rsidR="005D4FA8" w:rsidRDefault="005D4FA8" w:rsidP="005D4FA8">
            <w:pPr>
              <w:spacing w:after="0"/>
            </w:pPr>
          </w:p>
        </w:tc>
      </w:tr>
      <w:tr w:rsidR="005D4FA8" w:rsidTr="00B27BD8">
        <w:trPr>
          <w:gridAfter w:val="3"/>
          <w:wAfter w:w="5040" w:type="dxa"/>
          <w:cantSplit/>
        </w:trPr>
        <w:tc>
          <w:tcPr>
            <w:tcW w:w="2263" w:type="dxa"/>
            <w:gridSpan w:val="3"/>
            <w:shd w:val="clear" w:color="auto" w:fill="auto"/>
            <w:tcMar>
              <w:left w:w="0" w:type="dxa"/>
            </w:tcMar>
            <w:vAlign w:val="center"/>
          </w:tcPr>
          <w:p w:rsidR="005D4FA8" w:rsidRDefault="005D4FA8" w:rsidP="005D4FA8">
            <w:pPr>
              <w:spacing w:after="0"/>
            </w:pPr>
          </w:p>
        </w:tc>
        <w:tc>
          <w:tcPr>
            <w:tcW w:w="212" w:type="dxa"/>
            <w:shd w:val="clear" w:color="auto" w:fill="auto"/>
            <w:tcMar>
              <w:left w:w="0" w:type="dxa"/>
            </w:tcMar>
            <w:vAlign w:val="center"/>
          </w:tcPr>
          <w:p w:rsidR="005D4FA8" w:rsidRDefault="005D4FA8" w:rsidP="005D4FA8">
            <w:pPr>
              <w:spacing w:after="0"/>
            </w:pPr>
          </w:p>
        </w:tc>
        <w:tc>
          <w:tcPr>
            <w:tcW w:w="2553" w:type="dxa"/>
            <w:shd w:val="clear" w:color="auto" w:fill="auto"/>
            <w:tcMar>
              <w:left w:w="0" w:type="dxa"/>
            </w:tcMar>
            <w:vAlign w:val="center"/>
          </w:tcPr>
          <w:p w:rsidR="005D4FA8" w:rsidRDefault="005D4FA8" w:rsidP="005D4FA8">
            <w:pPr>
              <w:spacing w:after="0"/>
            </w:pPr>
          </w:p>
        </w:tc>
        <w:tc>
          <w:tcPr>
            <w:tcW w:w="213" w:type="dxa"/>
            <w:shd w:val="clear" w:color="auto" w:fill="auto"/>
            <w:tcMar>
              <w:left w:w="0" w:type="dxa"/>
            </w:tcMar>
            <w:vAlign w:val="center"/>
          </w:tcPr>
          <w:p w:rsidR="005D4FA8" w:rsidRDefault="005D4FA8" w:rsidP="005D4FA8">
            <w:pPr>
              <w:spacing w:after="0"/>
            </w:pPr>
          </w:p>
        </w:tc>
        <w:tc>
          <w:tcPr>
            <w:tcW w:w="2553" w:type="dxa"/>
            <w:gridSpan w:val="2"/>
            <w:shd w:val="clear" w:color="auto" w:fill="auto"/>
            <w:tcMar>
              <w:left w:w="0" w:type="dxa"/>
            </w:tcMar>
            <w:vAlign w:val="center"/>
          </w:tcPr>
          <w:p w:rsidR="005D4FA8" w:rsidRDefault="005D4FA8" w:rsidP="005D4FA8">
            <w:pPr>
              <w:spacing w:after="0"/>
            </w:pPr>
          </w:p>
        </w:tc>
        <w:tc>
          <w:tcPr>
            <w:tcW w:w="213" w:type="dxa"/>
            <w:shd w:val="clear" w:color="auto" w:fill="auto"/>
            <w:tcMar>
              <w:left w:w="0" w:type="dxa"/>
            </w:tcMar>
            <w:vAlign w:val="center"/>
          </w:tcPr>
          <w:p w:rsidR="005D4FA8" w:rsidRDefault="005D4FA8" w:rsidP="005D4FA8">
            <w:pPr>
              <w:spacing w:after="0"/>
            </w:pPr>
          </w:p>
        </w:tc>
        <w:tc>
          <w:tcPr>
            <w:tcW w:w="2553" w:type="dxa"/>
            <w:gridSpan w:val="2"/>
            <w:shd w:val="clear" w:color="auto" w:fill="auto"/>
            <w:tcMar>
              <w:left w:w="0" w:type="dxa"/>
            </w:tcMar>
            <w:vAlign w:val="center"/>
          </w:tcPr>
          <w:p w:rsidR="005D4FA8" w:rsidRDefault="005D4FA8" w:rsidP="005D4FA8">
            <w:pPr>
              <w:spacing w:after="0"/>
            </w:pPr>
            <w:bookmarkStart w:id="0" w:name="_GoBack"/>
            <w:bookmarkEnd w:id="0"/>
          </w:p>
        </w:tc>
      </w:tr>
      <w:tr w:rsidR="005D4FA8" w:rsidTr="00B27BD8">
        <w:trPr>
          <w:gridAfter w:val="3"/>
          <w:wAfter w:w="5040" w:type="dxa"/>
          <w:cantSplit/>
        </w:trPr>
        <w:tc>
          <w:tcPr>
            <w:tcW w:w="2263" w:type="dxa"/>
            <w:gridSpan w:val="3"/>
            <w:tcBorders>
              <w:bottom w:val="single" w:sz="5" w:space="0" w:color="auto"/>
            </w:tcBorders>
            <w:shd w:val="clear" w:color="auto" w:fill="auto"/>
            <w:vAlign w:val="center"/>
          </w:tcPr>
          <w:p w:rsidR="005D4FA8" w:rsidRDefault="005D4FA8" w:rsidP="005D4FA8">
            <w:pPr>
              <w:spacing w:after="0"/>
              <w:jc w:val="center"/>
            </w:pPr>
            <w:r>
              <w:rPr>
                <w:rFonts w:ascii="Arial" w:hAnsi="Arial"/>
                <w:sz w:val="18"/>
                <w:szCs w:val="18"/>
              </w:rPr>
              <w:t>29.04.2025</w:t>
            </w:r>
          </w:p>
        </w:tc>
        <w:tc>
          <w:tcPr>
            <w:tcW w:w="212" w:type="dxa"/>
            <w:shd w:val="clear" w:color="auto" w:fill="auto"/>
            <w:tcMar>
              <w:left w:w="0" w:type="dxa"/>
            </w:tcMar>
            <w:vAlign w:val="center"/>
          </w:tcPr>
          <w:p w:rsidR="005D4FA8" w:rsidRDefault="005D4FA8" w:rsidP="005D4FA8">
            <w:pPr>
              <w:spacing w:after="0"/>
            </w:pPr>
          </w:p>
        </w:tc>
        <w:tc>
          <w:tcPr>
            <w:tcW w:w="2553" w:type="dxa"/>
            <w:shd w:val="clear" w:color="auto" w:fill="auto"/>
            <w:tcMar>
              <w:left w:w="0" w:type="dxa"/>
            </w:tcMar>
            <w:vAlign w:val="center"/>
          </w:tcPr>
          <w:p w:rsidR="005D4FA8" w:rsidRDefault="005D4FA8" w:rsidP="005D4FA8">
            <w:pPr>
              <w:spacing w:after="0"/>
            </w:pPr>
          </w:p>
        </w:tc>
        <w:tc>
          <w:tcPr>
            <w:tcW w:w="213" w:type="dxa"/>
            <w:shd w:val="clear" w:color="auto" w:fill="auto"/>
            <w:tcMar>
              <w:left w:w="0" w:type="dxa"/>
            </w:tcMar>
            <w:vAlign w:val="center"/>
          </w:tcPr>
          <w:p w:rsidR="005D4FA8" w:rsidRDefault="005D4FA8" w:rsidP="005D4FA8">
            <w:pPr>
              <w:spacing w:after="0"/>
            </w:pPr>
          </w:p>
        </w:tc>
        <w:tc>
          <w:tcPr>
            <w:tcW w:w="2553" w:type="dxa"/>
            <w:gridSpan w:val="2"/>
            <w:shd w:val="clear" w:color="auto" w:fill="auto"/>
            <w:tcMar>
              <w:left w:w="0" w:type="dxa"/>
            </w:tcMar>
            <w:vAlign w:val="center"/>
          </w:tcPr>
          <w:p w:rsidR="005D4FA8" w:rsidRDefault="005D4FA8" w:rsidP="005D4FA8">
            <w:pPr>
              <w:spacing w:after="0"/>
            </w:pPr>
          </w:p>
        </w:tc>
        <w:tc>
          <w:tcPr>
            <w:tcW w:w="213" w:type="dxa"/>
            <w:shd w:val="clear" w:color="auto" w:fill="auto"/>
            <w:tcMar>
              <w:left w:w="0" w:type="dxa"/>
            </w:tcMar>
            <w:vAlign w:val="center"/>
          </w:tcPr>
          <w:p w:rsidR="005D4FA8" w:rsidRDefault="005D4FA8" w:rsidP="005D4FA8">
            <w:pPr>
              <w:spacing w:after="0"/>
            </w:pPr>
          </w:p>
        </w:tc>
        <w:tc>
          <w:tcPr>
            <w:tcW w:w="2553" w:type="dxa"/>
            <w:gridSpan w:val="2"/>
            <w:shd w:val="clear" w:color="auto" w:fill="auto"/>
            <w:tcMar>
              <w:left w:w="0" w:type="dxa"/>
            </w:tcMar>
            <w:vAlign w:val="center"/>
          </w:tcPr>
          <w:p w:rsidR="005D4FA8" w:rsidRDefault="005D4FA8" w:rsidP="005D4FA8">
            <w:pPr>
              <w:spacing w:after="0"/>
            </w:pPr>
          </w:p>
        </w:tc>
      </w:tr>
    </w:tbl>
    <w:p w:rsidR="005D4FA8" w:rsidRDefault="005D4FA8"/>
    <w:sectPr w:rsidR="005D4FA8">
      <w:pgSz w:w="16839" w:h="11907"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16B8B"/>
    <w:rsid w:val="004C033A"/>
    <w:rsid w:val="005D4FA8"/>
    <w:rsid w:val="00716B8B"/>
    <w:rsid w:val="00B07FBE"/>
    <w:rsid w:val="00B27BD8"/>
    <w:rsid w:val="00EE28B0"/>
    <w:rsid w:val="00FD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817E"/>
  <w15:docId w15:val="{212BD08A-4CA1-47B9-BD2C-CD3EEB31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45</Pages>
  <Words>9230</Words>
  <Characters>52616</Characters>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2025-05-07T11:02:00Z</dcterms:created>
  <dcterms:modified xsi:type="dcterms:W3CDTF">2025-11-05T13:14:00Z</dcterms:modified>
</cp:coreProperties>
</file>