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79"/>
        <w:tblW w:w="10560" w:type="dxa"/>
        <w:tblInd w:w="57" w:type="dxa"/>
        <w:tblLayout w:type="fixed"/>
        <w:tblCellMar>
          <w:left w:w="57" w:type="dxa"/>
          <w:right w:w="57" w:type="dxa"/>
        </w:tblCellMar>
        <w:tblLook w:val="04A0" w:firstRow="1" w:lastRow="0" w:firstColumn="1" w:lastColumn="0" w:noHBand="0" w:noVBand="1"/>
      </w:tblPr>
      <w:tblGrid>
        <w:gridCol w:w="135"/>
        <w:gridCol w:w="660"/>
        <w:gridCol w:w="360"/>
        <w:gridCol w:w="2355"/>
        <w:gridCol w:w="2340"/>
        <w:gridCol w:w="2355"/>
        <w:gridCol w:w="2355"/>
      </w:tblGrid>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 xml:space="preserve">Приложение 1 к Положению Банка России от 2 октября 2024 года N 843-П "О формах раскрытия информации в бухгалтерской (финансовой) отчетности отдельных </w:t>
            </w:r>
            <w:proofErr w:type="spellStart"/>
            <w:r>
              <w:rPr>
                <w:b/>
                <w:sz w:val="18"/>
                <w:szCs w:val="18"/>
              </w:rPr>
              <w:t>некредитных</w:t>
            </w:r>
            <w:proofErr w:type="spellEnd"/>
            <w:r>
              <w:rPr>
                <w:b/>
                <w:sz w:val="18"/>
                <w:szCs w:val="18"/>
              </w:rPr>
              <w:t xml:space="preserve">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бухгалтерской (финансовой) отчетности"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Код</w:t>
            </w:r>
          </w:p>
          <w:p w:rsidR="00915A81" w:rsidRDefault="00E14DE7">
            <w:pPr>
              <w:jc w:val="center"/>
            </w:pPr>
            <w:r>
              <w:rPr>
                <w:b/>
                <w:sz w:val="18"/>
                <w:szCs w:val="18"/>
              </w:rPr>
              <w:t>территории</w:t>
            </w:r>
          </w:p>
          <w:p w:rsidR="00915A81" w:rsidRDefault="00E14DE7">
            <w:pPr>
              <w:jc w:val="center"/>
            </w:pPr>
            <w:r>
              <w:rPr>
                <w:b/>
                <w:sz w:val="18"/>
                <w:szCs w:val="18"/>
              </w:rPr>
              <w:t>по ОКАТО</w:t>
            </w:r>
          </w:p>
        </w:tc>
        <w:tc>
          <w:tcPr>
            <w:tcW w:w="7050" w:type="dxa"/>
            <w:gridSpan w:val="3"/>
            <w:tcBorders>
              <w:top w:val="single" w:sz="5" w:space="0" w:color="auto"/>
              <w:left w:val="single" w:sz="5" w:space="0" w:color="auto"/>
              <w:right w:val="single" w:sz="5" w:space="0" w:color="auto"/>
            </w:tcBorders>
            <w:shd w:val="clear" w:color="auto" w:fill="auto"/>
            <w:vAlign w:val="center"/>
          </w:tcPr>
          <w:p w:rsidR="00915A81" w:rsidRDefault="00E14DE7">
            <w:pPr>
              <w:jc w:val="center"/>
            </w:pPr>
            <w:r>
              <w:rPr>
                <w:b/>
                <w:sz w:val="18"/>
                <w:szCs w:val="18"/>
              </w:rPr>
              <w:t>Код организации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по ОКПО</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ОГРН</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ИНН</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45296561000</w:t>
            </w:r>
          </w:p>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63682124</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1247700535697</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9725165895</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24"/>
                <w:szCs w:val="24"/>
              </w:rPr>
              <w:t>БУХГАЛТЕРСКИЙ БАЛАНС ОРГАНИЗАЦИИ</w:t>
            </w: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i/>
                <w:sz w:val="24"/>
                <w:szCs w:val="24"/>
              </w:rPr>
              <w:t>на 30 июня 2026 г.</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0425" w:type="dxa"/>
            <w:gridSpan w:val="6"/>
            <w:tcBorders>
              <w:bottom w:val="none" w:sz="5" w:space="0" w:color="auto"/>
            </w:tcBorders>
            <w:shd w:val="clear" w:color="auto" w:fill="auto"/>
            <w:vAlign w:val="center"/>
          </w:tcPr>
          <w:p w:rsidR="00915A81" w:rsidRDefault="00E14DE7">
            <w:pPr>
              <w:wordWrap w:val="0"/>
              <w:jc w:val="center"/>
            </w:pPr>
            <w:r>
              <w:rPr>
                <w:b/>
                <w:sz w:val="18"/>
                <w:szCs w:val="18"/>
              </w:rPr>
              <w:t>Общество с ограниченной ответственностью "НЭКСТ"</w:t>
            </w:r>
          </w:p>
        </w:tc>
      </w:tr>
      <w:tr w:rsidR="00915A81">
        <w:trPr>
          <w:cantSplit/>
        </w:trPr>
        <w:tc>
          <w:tcPr>
            <w:tcW w:w="135" w:type="dxa"/>
            <w:shd w:val="clear" w:color="auto" w:fill="auto"/>
            <w:vAlign w:val="center"/>
          </w:tcPr>
          <w:p w:rsidR="00915A81" w:rsidRDefault="00915A81">
            <w:pPr>
              <w:wordWrap w:val="0"/>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ООО "НЭКСТ"</w:t>
            </w: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18"/>
                <w:szCs w:val="18"/>
              </w:rPr>
              <w:t>(полное и (или) сокращенное фирменные наименования)</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 xml:space="preserve">115162, </w:t>
            </w:r>
            <w:proofErr w:type="spellStart"/>
            <w:r>
              <w:rPr>
                <w:b/>
                <w:sz w:val="18"/>
                <w:szCs w:val="18"/>
              </w:rPr>
              <w:t>г</w:t>
            </w:r>
            <w:proofErr w:type="gramStart"/>
            <w:r>
              <w:rPr>
                <w:b/>
                <w:sz w:val="18"/>
                <w:szCs w:val="18"/>
              </w:rPr>
              <w:t>.М</w:t>
            </w:r>
            <w:proofErr w:type="gramEnd"/>
            <w:r>
              <w:rPr>
                <w:b/>
                <w:sz w:val="18"/>
                <w:szCs w:val="18"/>
              </w:rPr>
              <w:t>осква</w:t>
            </w:r>
            <w:proofErr w:type="spellEnd"/>
            <w:r>
              <w:rPr>
                <w:b/>
                <w:sz w:val="18"/>
                <w:szCs w:val="18"/>
              </w:rPr>
              <w:t xml:space="preserve">. </w:t>
            </w:r>
            <w:proofErr w:type="spellStart"/>
            <w:r>
              <w:rPr>
                <w:b/>
                <w:sz w:val="18"/>
                <w:szCs w:val="18"/>
              </w:rPr>
              <w:t>вн.тер.г.Муниципальный</w:t>
            </w:r>
            <w:proofErr w:type="spellEnd"/>
            <w:r>
              <w:rPr>
                <w:b/>
                <w:sz w:val="18"/>
                <w:szCs w:val="18"/>
              </w:rPr>
              <w:t xml:space="preserve"> Округ Донской. </w:t>
            </w:r>
            <w:proofErr w:type="spellStart"/>
            <w:proofErr w:type="gramStart"/>
            <w:r>
              <w:rPr>
                <w:b/>
                <w:sz w:val="18"/>
                <w:szCs w:val="18"/>
              </w:rPr>
              <w:t>Ул</w:t>
            </w:r>
            <w:proofErr w:type="spellEnd"/>
            <w:proofErr w:type="gramEnd"/>
            <w:r>
              <w:rPr>
                <w:b/>
                <w:sz w:val="18"/>
                <w:szCs w:val="18"/>
              </w:rPr>
              <w:t xml:space="preserve"> Шухова. Дом 14. строение 11</w:t>
            </w: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18"/>
                <w:szCs w:val="18"/>
              </w:rPr>
              <w:t>(адрес организации в пределах места нахождения организации)</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55"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Код формы по ОКУД 0420002</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proofErr w:type="gramStart"/>
            <w:r>
              <w:rPr>
                <w:b/>
                <w:sz w:val="18"/>
                <w:szCs w:val="18"/>
              </w:rPr>
              <w:t>Годовая</w:t>
            </w:r>
            <w:proofErr w:type="gramEnd"/>
            <w:r>
              <w:rPr>
                <w:b/>
                <w:sz w:val="18"/>
                <w:szCs w:val="18"/>
              </w:rPr>
              <w:t xml:space="preserve"> (квартальная, полугодовая, за 9 месяцев)</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sz w:val="18"/>
                <w:szCs w:val="18"/>
              </w:rPr>
              <w:t>тыс. руб.</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bl>
    <w:tbl>
      <w:tblPr>
        <w:tblStyle w:val="TableStyle80"/>
        <w:tblW w:w="10490" w:type="dxa"/>
        <w:tblInd w:w="57" w:type="dxa"/>
        <w:tblLayout w:type="fixed"/>
        <w:tblCellMar>
          <w:left w:w="57" w:type="dxa"/>
          <w:right w:w="57" w:type="dxa"/>
        </w:tblCellMar>
        <w:tblLook w:val="04A0" w:firstRow="1" w:lastRow="0" w:firstColumn="1" w:lastColumn="0" w:noHBand="0" w:noVBand="1"/>
      </w:tblPr>
      <w:tblGrid>
        <w:gridCol w:w="135"/>
        <w:gridCol w:w="735"/>
        <w:gridCol w:w="2910"/>
        <w:gridCol w:w="1260"/>
        <w:gridCol w:w="2757"/>
        <w:gridCol w:w="2693"/>
      </w:tblGrid>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Номер показателя</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Наименование показателя</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Номер примечания</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 30.06.2026 г.</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 31.12.2025 г.</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2</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3</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4</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5</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B662DC" w:rsidRDefault="00B662DC">
            <w:pPr>
              <w:jc w:val="center"/>
            </w:pPr>
          </w:p>
        </w:tc>
        <w:tc>
          <w:tcPr>
            <w:tcW w:w="291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ind w:left="105"/>
            </w:pPr>
            <w:r>
              <w:rPr>
                <w:b/>
                <w:sz w:val="18"/>
                <w:szCs w:val="18"/>
              </w:rPr>
              <w:t>Раздел I. Активы</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right"/>
            </w:pPr>
          </w:p>
        </w:tc>
        <w:tc>
          <w:tcPr>
            <w:tcW w:w="2757"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c>
          <w:tcPr>
            <w:tcW w:w="2693"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Денежные средства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r>
              <w:rPr>
                <w:sz w:val="18"/>
                <w:szCs w:val="18"/>
              </w:rPr>
              <w:t>5</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129 798</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123 402</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Финансовые активы, оцениваемые по амортизированной стоимости, в том числе:</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9 313</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11 187</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3</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r>
              <w:rPr>
                <w:sz w:val="18"/>
                <w:szCs w:val="18"/>
              </w:rPr>
              <w:t>средства в кредитных организациях и банках-нерезидентах</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4</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proofErr w:type="gramStart"/>
            <w:r>
              <w:rPr>
                <w:sz w:val="18"/>
                <w:szCs w:val="18"/>
              </w:rPr>
              <w:t>займы</w:t>
            </w:r>
            <w:proofErr w:type="gramEnd"/>
            <w:r>
              <w:rPr>
                <w:sz w:val="18"/>
                <w:szCs w:val="18"/>
              </w:rPr>
              <w:t xml:space="preserve"> выданные и прочие размещенные средства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540</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490</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5</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r>
              <w:rPr>
                <w:sz w:val="18"/>
                <w:szCs w:val="18"/>
              </w:rPr>
              <w:t>дебиторская задолженность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6</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8 773</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10 697</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6</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Нематериальные активы и капитальные вложения в них</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7</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19 782</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19 451</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7</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Основные средства и капитальные вложения в них</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8</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2 443</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3 158</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8</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Требования по текущему налогу на прибыль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846</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9</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Отложенные налоговые активы</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917</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894</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10</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Прочие активы</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233</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304</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11</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Итого активов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163 331</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158 396</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B662DC" w:rsidRDefault="00B662DC">
            <w:pPr>
              <w:jc w:val="center"/>
            </w:pPr>
          </w:p>
        </w:tc>
        <w:tc>
          <w:tcPr>
            <w:tcW w:w="291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ind w:left="105"/>
            </w:pPr>
            <w:r>
              <w:rPr>
                <w:b/>
                <w:sz w:val="18"/>
                <w:szCs w:val="18"/>
              </w:rPr>
              <w:t>Раздел II. Обязательства</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c>
          <w:tcPr>
            <w:tcW w:w="2757"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c>
          <w:tcPr>
            <w:tcW w:w="2693"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12</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Финансовые обязательства, оцениваемые по амортизированной стоимости, в том числе:</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6 533</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3 912</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13</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r>
              <w:rPr>
                <w:sz w:val="18"/>
                <w:szCs w:val="18"/>
              </w:rPr>
              <w:t>средства клиентов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9</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1 506</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14</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r>
              <w:rPr>
                <w:sz w:val="18"/>
                <w:szCs w:val="18"/>
              </w:rPr>
              <w:t>кредиты, займы и прочие привлеченные средства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10</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2 961</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3 625</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15</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210"/>
            </w:pPr>
            <w:r>
              <w:rPr>
                <w:sz w:val="18"/>
                <w:szCs w:val="18"/>
              </w:rPr>
              <w:t>кредиторская задолженность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11</w:t>
            </w: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2 066</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287</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16</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Обязательство по текущему налогу на прибыль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5 517</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17</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Отложенные налоговые обязательства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757"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c>
          <w:tcPr>
            <w:tcW w:w="2693"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w:t>
            </w:r>
          </w:p>
        </w:tc>
      </w:tr>
    </w:tbl>
    <w:p w:rsidR="00915A81" w:rsidRDefault="00E14DE7">
      <w:r>
        <w:br w:type="page"/>
      </w:r>
    </w:p>
    <w:tbl>
      <w:tblPr>
        <w:tblStyle w:val="TableStyle80"/>
        <w:tblW w:w="10206" w:type="dxa"/>
        <w:tblInd w:w="57" w:type="dxa"/>
        <w:tblLayout w:type="fixed"/>
        <w:tblCellMar>
          <w:left w:w="57" w:type="dxa"/>
          <w:right w:w="57" w:type="dxa"/>
        </w:tblCellMar>
        <w:tblLook w:val="04A0" w:firstRow="1" w:lastRow="0" w:firstColumn="1" w:lastColumn="0" w:noHBand="0" w:noVBand="1"/>
      </w:tblPr>
      <w:tblGrid>
        <w:gridCol w:w="135"/>
        <w:gridCol w:w="735"/>
        <w:gridCol w:w="2910"/>
        <w:gridCol w:w="1260"/>
        <w:gridCol w:w="2615"/>
        <w:gridCol w:w="2551"/>
      </w:tblGrid>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Номер показателя</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Наименование показателя</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Номер примечания</w:t>
            </w: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 30.06.2026 г.</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На 31.12.2025 г.</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2</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3</w:t>
            </w: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4</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5</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18</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Прочие обязательства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1 999</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685</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19</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Итого обязательств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8 532</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10 115</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B662DC" w:rsidRDefault="00B662DC">
            <w:pPr>
              <w:jc w:val="center"/>
            </w:pPr>
          </w:p>
        </w:tc>
        <w:tc>
          <w:tcPr>
            <w:tcW w:w="291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ind w:left="105"/>
            </w:pPr>
            <w:r>
              <w:rPr>
                <w:b/>
                <w:sz w:val="18"/>
                <w:szCs w:val="18"/>
              </w:rPr>
              <w:t>Раздел III. Капитал</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c>
          <w:tcPr>
            <w:tcW w:w="2615"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c>
          <w:tcPr>
            <w:tcW w:w="2551" w:type="dxa"/>
            <w:tcBorders>
              <w:top w:val="single" w:sz="5" w:space="0" w:color="auto"/>
              <w:left w:val="none" w:sz="5" w:space="0" w:color="auto"/>
              <w:bottom w:val="single" w:sz="5" w:space="0" w:color="auto"/>
              <w:right w:val="none" w:sz="5" w:space="0" w:color="auto"/>
            </w:tcBorders>
            <w:shd w:val="clear" w:color="auto" w:fill="auto"/>
            <w:vAlign w:val="center"/>
          </w:tcPr>
          <w:p w:rsidR="00B662DC" w:rsidRDefault="00B662DC">
            <w:pPr>
              <w:jc w:val="center"/>
            </w:pP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20</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Уставный капитал</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20 000</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20 000</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21</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Добавочный капитал</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100 000</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100 000</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22</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sz w:val="18"/>
                <w:szCs w:val="18"/>
              </w:rPr>
              <w:t>Нераспределенная прибыль (непокрытый убыток)</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34 800</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28 281</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23</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Итого капитала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154 800</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148 281</w:t>
            </w:r>
          </w:p>
        </w:tc>
      </w:tr>
      <w:tr w:rsidR="00B662DC" w:rsidTr="00B662DC">
        <w:trPr>
          <w:cantSplit/>
        </w:trPr>
        <w:tc>
          <w:tcPr>
            <w:tcW w:w="135" w:type="dxa"/>
            <w:shd w:val="clear" w:color="auto" w:fill="auto"/>
            <w:vAlign w:val="center"/>
          </w:tcPr>
          <w:p w:rsidR="00B662DC" w:rsidRDefault="00B662DC">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sz w:val="18"/>
                <w:szCs w:val="18"/>
              </w:rPr>
              <w:t>24</w:t>
            </w:r>
          </w:p>
        </w:tc>
        <w:tc>
          <w:tcPr>
            <w:tcW w:w="291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ind w:left="105"/>
            </w:pPr>
            <w:r>
              <w:rPr>
                <w:b/>
                <w:sz w:val="18"/>
                <w:szCs w:val="18"/>
              </w:rPr>
              <w:t>Итого капитала и обязательств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wordWrap w:val="0"/>
              <w:jc w:val="center"/>
            </w:pPr>
          </w:p>
        </w:tc>
        <w:tc>
          <w:tcPr>
            <w:tcW w:w="2615"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163 331</w:t>
            </w:r>
          </w:p>
        </w:tc>
        <w:tc>
          <w:tcPr>
            <w:tcW w:w="2551" w:type="dxa"/>
            <w:tcBorders>
              <w:top w:val="single" w:sz="5" w:space="0" w:color="auto"/>
              <w:left w:val="single" w:sz="5" w:space="0" w:color="auto"/>
              <w:bottom w:val="single" w:sz="5" w:space="0" w:color="auto"/>
              <w:right w:val="single" w:sz="5" w:space="0" w:color="auto"/>
            </w:tcBorders>
            <w:shd w:val="clear" w:color="auto" w:fill="auto"/>
            <w:vAlign w:val="center"/>
          </w:tcPr>
          <w:p w:rsidR="00B662DC" w:rsidRDefault="00B662DC">
            <w:pPr>
              <w:jc w:val="center"/>
            </w:pPr>
            <w:r>
              <w:rPr>
                <w:b/>
                <w:sz w:val="18"/>
                <w:szCs w:val="18"/>
              </w:rPr>
              <w:t>158 396</w:t>
            </w:r>
          </w:p>
        </w:tc>
      </w:tr>
    </w:tbl>
    <w:tbl>
      <w:tblPr>
        <w:tblStyle w:val="TableStyle81"/>
        <w:tblW w:w="10560" w:type="dxa"/>
        <w:tblInd w:w="57" w:type="dxa"/>
        <w:tblLayout w:type="fixed"/>
        <w:tblCellMar>
          <w:left w:w="57" w:type="dxa"/>
          <w:right w:w="57" w:type="dxa"/>
        </w:tblCellMar>
        <w:tblLook w:val="04A0" w:firstRow="1" w:lastRow="0" w:firstColumn="1" w:lastColumn="0" w:noHBand="0" w:noVBand="1"/>
      </w:tblPr>
      <w:tblGrid>
        <w:gridCol w:w="135"/>
        <w:gridCol w:w="2235"/>
        <w:gridCol w:w="210"/>
        <w:gridCol w:w="2520"/>
        <w:gridCol w:w="210"/>
        <w:gridCol w:w="2520"/>
        <w:gridCol w:w="210"/>
        <w:gridCol w:w="2520"/>
      </w:tblGrid>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Заместитель генерального директора</w:t>
            </w: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top w:val="single" w:sz="5" w:space="0" w:color="auto"/>
            </w:tcBorders>
            <w:shd w:val="clear" w:color="auto" w:fill="auto"/>
          </w:tcPr>
          <w:p w:rsidR="00915A81" w:rsidRDefault="00E14DE7">
            <w:pPr>
              <w:jc w:val="center"/>
            </w:pPr>
            <w:r>
              <w:rPr>
                <w:sz w:val="18"/>
                <w:szCs w:val="18"/>
              </w:rPr>
              <w:t>(должность)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tcPr>
          <w:p w:rsidR="00915A81" w:rsidRDefault="00E14DE7">
            <w:pPr>
              <w:jc w:val="center"/>
            </w:pPr>
            <w:r>
              <w:rPr>
                <w:sz w:val="18"/>
                <w:szCs w:val="18"/>
              </w:rPr>
              <w:t>(подпись)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vAlign w:val="center"/>
          </w:tcPr>
          <w:p w:rsidR="00915A81" w:rsidRDefault="00E14DE7">
            <w:pPr>
              <w:jc w:val="center"/>
            </w:pPr>
            <w:r>
              <w:rPr>
                <w:sz w:val="18"/>
                <w:szCs w:val="18"/>
              </w:rPr>
              <w:t>Фамилия, имя, отчество (последнее – при наличии)</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28.07.2026</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bl>
    <w:p w:rsidR="00915A81" w:rsidRDefault="00915A81">
      <w:pPr>
        <w:sectPr w:rsidR="00915A81">
          <w:pgSz w:w="11907" w:h="16839"/>
          <w:pgMar w:top="567" w:right="567" w:bottom="567" w:left="567" w:header="720" w:footer="720" w:gutter="0"/>
          <w:cols w:space="720"/>
        </w:sectPr>
      </w:pPr>
      <w:bookmarkStart w:id="0" w:name="_GoBack"/>
      <w:bookmarkEnd w:id="0"/>
    </w:p>
    <w:tbl>
      <w:tblPr>
        <w:tblStyle w:val="TableStyle82"/>
        <w:tblW w:w="10560" w:type="dxa"/>
        <w:tblInd w:w="57" w:type="dxa"/>
        <w:tblLayout w:type="fixed"/>
        <w:tblCellMar>
          <w:left w:w="57" w:type="dxa"/>
          <w:right w:w="57" w:type="dxa"/>
        </w:tblCellMar>
        <w:tblLook w:val="04A0" w:firstRow="1" w:lastRow="0" w:firstColumn="1" w:lastColumn="0" w:noHBand="0" w:noVBand="1"/>
      </w:tblPr>
      <w:tblGrid>
        <w:gridCol w:w="135"/>
        <w:gridCol w:w="660"/>
        <w:gridCol w:w="360"/>
        <w:gridCol w:w="2355"/>
        <w:gridCol w:w="2340"/>
        <w:gridCol w:w="2355"/>
        <w:gridCol w:w="2355"/>
      </w:tblGrid>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 xml:space="preserve">Приложение 2 к Положению Банка России от 2 октября 2024 года N 843-П "О формах раскрытия информации в бухгалтерской (финансовой) отчетности отдельных </w:t>
            </w:r>
            <w:proofErr w:type="spellStart"/>
            <w:r>
              <w:rPr>
                <w:b/>
                <w:sz w:val="18"/>
                <w:szCs w:val="18"/>
              </w:rPr>
              <w:t>некредитных</w:t>
            </w:r>
            <w:proofErr w:type="spellEnd"/>
            <w:r>
              <w:rPr>
                <w:b/>
                <w:sz w:val="18"/>
                <w:szCs w:val="18"/>
              </w:rPr>
              <w:t xml:space="preserve">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бухгалтерской (финансовой) отчетности"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Код</w:t>
            </w:r>
          </w:p>
          <w:p w:rsidR="00915A81" w:rsidRDefault="00E14DE7">
            <w:pPr>
              <w:jc w:val="center"/>
            </w:pPr>
            <w:r>
              <w:rPr>
                <w:b/>
                <w:sz w:val="18"/>
                <w:szCs w:val="18"/>
              </w:rPr>
              <w:t>территории</w:t>
            </w:r>
          </w:p>
          <w:p w:rsidR="00915A81" w:rsidRDefault="00E14DE7">
            <w:pPr>
              <w:jc w:val="center"/>
            </w:pPr>
            <w:r>
              <w:rPr>
                <w:b/>
                <w:sz w:val="18"/>
                <w:szCs w:val="18"/>
              </w:rPr>
              <w:t>по ОКАТО</w:t>
            </w:r>
          </w:p>
        </w:tc>
        <w:tc>
          <w:tcPr>
            <w:tcW w:w="7050" w:type="dxa"/>
            <w:gridSpan w:val="3"/>
            <w:tcBorders>
              <w:top w:val="single" w:sz="5" w:space="0" w:color="auto"/>
              <w:left w:val="single" w:sz="5" w:space="0" w:color="auto"/>
              <w:right w:val="single" w:sz="5" w:space="0" w:color="auto"/>
            </w:tcBorders>
            <w:shd w:val="clear" w:color="auto" w:fill="auto"/>
            <w:vAlign w:val="center"/>
          </w:tcPr>
          <w:p w:rsidR="00915A81" w:rsidRDefault="00E14DE7">
            <w:pPr>
              <w:jc w:val="center"/>
            </w:pPr>
            <w:r>
              <w:rPr>
                <w:b/>
                <w:sz w:val="18"/>
                <w:szCs w:val="18"/>
              </w:rPr>
              <w:t>Код организации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по ОКПО</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ОГРН</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ИНН</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45296561000</w:t>
            </w:r>
          </w:p>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63682124</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1247700535697</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9725165895</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24"/>
                <w:szCs w:val="24"/>
              </w:rPr>
              <w:t>ОТЧЕТ О ФИНАНСОВЫХ РЕЗУЛЬТАТАХ ОРГАНИЗАЦИИ</w:t>
            </w: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24"/>
                <w:szCs w:val="24"/>
              </w:rPr>
              <w:t>за 1 полугодие 2026 г.</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0425" w:type="dxa"/>
            <w:gridSpan w:val="6"/>
            <w:tcBorders>
              <w:bottom w:val="none" w:sz="5" w:space="0" w:color="auto"/>
            </w:tcBorders>
            <w:shd w:val="clear" w:color="auto" w:fill="auto"/>
            <w:vAlign w:val="center"/>
          </w:tcPr>
          <w:p w:rsidR="00915A81" w:rsidRDefault="00E14DE7">
            <w:pPr>
              <w:wordWrap w:val="0"/>
              <w:jc w:val="center"/>
            </w:pPr>
            <w:r>
              <w:rPr>
                <w:b/>
                <w:sz w:val="18"/>
                <w:szCs w:val="18"/>
              </w:rPr>
              <w:t>Общество с ограниченной ответственностью "НЭКСТ"</w:t>
            </w:r>
          </w:p>
        </w:tc>
      </w:tr>
      <w:tr w:rsidR="00915A81">
        <w:trPr>
          <w:cantSplit/>
        </w:trPr>
        <w:tc>
          <w:tcPr>
            <w:tcW w:w="135" w:type="dxa"/>
            <w:shd w:val="clear" w:color="auto" w:fill="auto"/>
            <w:vAlign w:val="center"/>
          </w:tcPr>
          <w:p w:rsidR="00915A81" w:rsidRDefault="00915A81">
            <w:pPr>
              <w:wordWrap w:val="0"/>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ООО "НЭКСТ"</w:t>
            </w:r>
          </w:p>
        </w:tc>
      </w:tr>
      <w:tr w:rsidR="00915A81">
        <w:trPr>
          <w:cantSplit/>
        </w:trPr>
        <w:tc>
          <w:tcPr>
            <w:tcW w:w="135" w:type="dxa"/>
            <w:shd w:val="clear" w:color="auto" w:fill="auto"/>
            <w:vAlign w:val="center"/>
          </w:tcPr>
          <w:p w:rsidR="00915A81" w:rsidRDefault="00915A81">
            <w:pPr>
              <w:wordWrap w:val="0"/>
              <w:jc w:val="center"/>
            </w:pPr>
          </w:p>
        </w:tc>
        <w:tc>
          <w:tcPr>
            <w:tcW w:w="10425" w:type="dxa"/>
            <w:gridSpan w:val="6"/>
            <w:shd w:val="clear" w:color="auto" w:fill="auto"/>
            <w:vAlign w:val="center"/>
          </w:tcPr>
          <w:p w:rsidR="00915A81" w:rsidRDefault="00E14DE7">
            <w:pPr>
              <w:jc w:val="center"/>
            </w:pPr>
            <w:r>
              <w:rPr>
                <w:b/>
                <w:sz w:val="18"/>
                <w:szCs w:val="18"/>
              </w:rPr>
              <w:t>(полное и (или) сокращенное фирменные наименования)</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 xml:space="preserve">115162, </w:t>
            </w:r>
            <w:proofErr w:type="spellStart"/>
            <w:r>
              <w:rPr>
                <w:b/>
                <w:sz w:val="18"/>
                <w:szCs w:val="18"/>
              </w:rPr>
              <w:t>г</w:t>
            </w:r>
            <w:proofErr w:type="gramStart"/>
            <w:r>
              <w:rPr>
                <w:b/>
                <w:sz w:val="18"/>
                <w:szCs w:val="18"/>
              </w:rPr>
              <w:t>.М</w:t>
            </w:r>
            <w:proofErr w:type="gramEnd"/>
            <w:r>
              <w:rPr>
                <w:b/>
                <w:sz w:val="18"/>
                <w:szCs w:val="18"/>
              </w:rPr>
              <w:t>осква</w:t>
            </w:r>
            <w:proofErr w:type="spellEnd"/>
            <w:r>
              <w:rPr>
                <w:b/>
                <w:sz w:val="18"/>
                <w:szCs w:val="18"/>
              </w:rPr>
              <w:t xml:space="preserve">. </w:t>
            </w:r>
            <w:proofErr w:type="spellStart"/>
            <w:r>
              <w:rPr>
                <w:b/>
                <w:sz w:val="18"/>
                <w:szCs w:val="18"/>
              </w:rPr>
              <w:t>вн.тер.г.Муниципальный</w:t>
            </w:r>
            <w:proofErr w:type="spellEnd"/>
            <w:r>
              <w:rPr>
                <w:b/>
                <w:sz w:val="18"/>
                <w:szCs w:val="18"/>
              </w:rPr>
              <w:t xml:space="preserve"> Округ Донской. </w:t>
            </w:r>
            <w:proofErr w:type="spellStart"/>
            <w:proofErr w:type="gramStart"/>
            <w:r>
              <w:rPr>
                <w:b/>
                <w:sz w:val="18"/>
                <w:szCs w:val="18"/>
              </w:rPr>
              <w:t>Ул</w:t>
            </w:r>
            <w:proofErr w:type="spellEnd"/>
            <w:proofErr w:type="gramEnd"/>
            <w:r>
              <w:rPr>
                <w:b/>
                <w:sz w:val="18"/>
                <w:szCs w:val="18"/>
              </w:rPr>
              <w:t xml:space="preserve"> Шухова. Дом 14. строение 11</w:t>
            </w:r>
          </w:p>
        </w:tc>
      </w:tr>
      <w:tr w:rsidR="00915A81">
        <w:trPr>
          <w:cantSplit/>
        </w:trPr>
        <w:tc>
          <w:tcPr>
            <w:tcW w:w="135" w:type="dxa"/>
            <w:shd w:val="clear" w:color="auto" w:fill="auto"/>
            <w:vAlign w:val="center"/>
          </w:tcPr>
          <w:p w:rsidR="00915A81" w:rsidRDefault="00915A81"/>
        </w:tc>
        <w:tc>
          <w:tcPr>
            <w:tcW w:w="10425" w:type="dxa"/>
            <w:gridSpan w:val="6"/>
            <w:shd w:val="clear" w:color="auto" w:fill="auto"/>
            <w:vAlign w:val="center"/>
          </w:tcPr>
          <w:p w:rsidR="00915A81" w:rsidRDefault="00E14DE7">
            <w:pPr>
              <w:jc w:val="center"/>
            </w:pPr>
            <w:r>
              <w:rPr>
                <w:b/>
                <w:sz w:val="18"/>
                <w:szCs w:val="18"/>
              </w:rPr>
              <w:t>(адрес организации в пределах места нахождения организации)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55"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Код формы по ОКУД 0420003</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proofErr w:type="gramStart"/>
            <w:r>
              <w:rPr>
                <w:b/>
                <w:sz w:val="18"/>
                <w:szCs w:val="18"/>
              </w:rPr>
              <w:t>Годовая</w:t>
            </w:r>
            <w:proofErr w:type="gramEnd"/>
            <w:r>
              <w:rPr>
                <w:b/>
                <w:sz w:val="18"/>
                <w:szCs w:val="18"/>
              </w:rPr>
              <w:t xml:space="preserve"> (квартальная, полугодовая, за 9 месяцев)</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sz w:val="18"/>
                <w:szCs w:val="18"/>
              </w:rPr>
              <w:t>тыс. руб.</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bl>
    <w:tbl>
      <w:tblPr>
        <w:tblStyle w:val="TableStyle83"/>
        <w:tblW w:w="10560" w:type="dxa"/>
        <w:tblInd w:w="57" w:type="dxa"/>
        <w:tblLayout w:type="fixed"/>
        <w:tblCellMar>
          <w:left w:w="57" w:type="dxa"/>
          <w:right w:w="57" w:type="dxa"/>
        </w:tblCellMar>
        <w:tblLook w:val="04A0" w:firstRow="1" w:lastRow="0" w:firstColumn="1" w:lastColumn="0" w:noHBand="0" w:noVBand="1"/>
      </w:tblPr>
      <w:tblGrid>
        <w:gridCol w:w="135"/>
        <w:gridCol w:w="735"/>
        <w:gridCol w:w="2145"/>
        <w:gridCol w:w="1245"/>
        <w:gridCol w:w="1575"/>
        <w:gridCol w:w="1575"/>
        <w:gridCol w:w="1575"/>
        <w:gridCol w:w="1575"/>
      </w:tblGrid>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показателя</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Наименование показателя</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примечания</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2026 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2025 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2 квартал 2026г.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2 квартал 2025г.</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2</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7</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915A81" w:rsidRDefault="00915A81">
            <w:pPr>
              <w:jc w:val="center"/>
            </w:pPr>
          </w:p>
        </w:tc>
        <w:tc>
          <w:tcPr>
            <w:tcW w:w="2145"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E14DE7">
            <w:pPr>
              <w:ind w:left="105"/>
            </w:pPr>
            <w:r>
              <w:rPr>
                <w:b/>
                <w:sz w:val="18"/>
                <w:szCs w:val="18"/>
              </w:rPr>
              <w:t>Раздел I. Прибыли и убытки</w:t>
            </w:r>
          </w:p>
        </w:tc>
        <w:tc>
          <w:tcPr>
            <w:tcW w:w="1245"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1575"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1575"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1575"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1575" w:type="dxa"/>
            <w:tcBorders>
              <w:top w:val="single" w:sz="5" w:space="0" w:color="auto"/>
              <w:left w:val="none" w:sz="5" w:space="0" w:color="auto"/>
              <w:bottom w:val="single" w:sz="5" w:space="0" w:color="auto"/>
              <w:right w:val="single" w:sz="5" w:space="0" w:color="auto"/>
            </w:tcBorders>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Торговые и инвестиционные доходы, в том числе:</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10 328</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9 779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5 819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4 912</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процентные доходы</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wordWrap w:val="0"/>
              <w:jc w:val="center"/>
            </w:pPr>
            <w:r>
              <w:rPr>
                <w:sz w:val="18"/>
                <w:szCs w:val="18"/>
              </w:rPr>
              <w:t>12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10 144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9 779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5 099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4 912</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доходы за вычетом расходов (расходы за вычетом доходов) по восстановлению (созданию) оценочных резервов под ожидаемые кредитные убытки по финансовым активам, оцениваемым по амортизированной стоимости</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261</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751</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доходы за вычетом расходов (расходы за вычетом доходов) от операций с иностранной валютой</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Выручка от оказания услуг и комиссионные доходы</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56 756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9 284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28 930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6 580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Расходы на персонал</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15</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(7 783)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(3 313)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(4 469)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(1 849)</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Прямые операционные расходы</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(279)</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(137)</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(55)</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8</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Процентные расходы</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(496)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(688)</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(232)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(335)</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Общие и административные расходы</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18</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(12 301)</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(8 842)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(7 681)</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(4 128)</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10</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Прибыль (убыток) до налогообложения</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46 225</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6 147</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22 230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5 125</w:t>
            </w:r>
          </w:p>
        </w:tc>
      </w:tr>
    </w:tbl>
    <w:p w:rsidR="00915A81" w:rsidRDefault="00E14DE7">
      <w:r>
        <w:br w:type="page"/>
      </w:r>
    </w:p>
    <w:tbl>
      <w:tblPr>
        <w:tblStyle w:val="TableStyle83"/>
        <w:tblW w:w="10560" w:type="dxa"/>
        <w:tblInd w:w="57" w:type="dxa"/>
        <w:tblLayout w:type="fixed"/>
        <w:tblCellMar>
          <w:left w:w="57" w:type="dxa"/>
          <w:right w:w="57" w:type="dxa"/>
        </w:tblCellMar>
        <w:tblLook w:val="04A0" w:firstRow="1" w:lastRow="0" w:firstColumn="1" w:lastColumn="0" w:noHBand="0" w:noVBand="1"/>
      </w:tblPr>
      <w:tblGrid>
        <w:gridCol w:w="135"/>
        <w:gridCol w:w="735"/>
        <w:gridCol w:w="2145"/>
        <w:gridCol w:w="1245"/>
        <w:gridCol w:w="1575"/>
        <w:gridCol w:w="1575"/>
        <w:gridCol w:w="1575"/>
        <w:gridCol w:w="1575"/>
      </w:tblGrid>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показателя</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Наименование показателя</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примечания</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2026 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2025 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2 квартал 2026г.</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2 квартал 2025г.</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2</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7</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11</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Налог на прибыль, в том числе:</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(11 425)</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(1 537)</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(5 528)</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(1 282)</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текущий налог на прибыль</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(11 448)</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(1 634)</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(5 301)</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(1 295)</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13</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отложенный налог на прибыль</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23</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96</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(227)</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14</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14</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Прибыль (убыток) после налогообложения</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34 800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4 610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16 702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3 844</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15</w:t>
            </w:r>
          </w:p>
        </w:tc>
        <w:tc>
          <w:tcPr>
            <w:tcW w:w="21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Итого совокупного дохода (расхода)</w:t>
            </w:r>
          </w:p>
        </w:tc>
        <w:tc>
          <w:tcPr>
            <w:tcW w:w="12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34 800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4 610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16 702</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3 844</w:t>
            </w:r>
          </w:p>
        </w:tc>
      </w:tr>
    </w:tbl>
    <w:tbl>
      <w:tblPr>
        <w:tblStyle w:val="TableStyle84"/>
        <w:tblW w:w="10560" w:type="dxa"/>
        <w:tblInd w:w="57" w:type="dxa"/>
        <w:tblLayout w:type="fixed"/>
        <w:tblCellMar>
          <w:left w:w="57" w:type="dxa"/>
          <w:right w:w="57" w:type="dxa"/>
        </w:tblCellMar>
        <w:tblLook w:val="04A0" w:firstRow="1" w:lastRow="0" w:firstColumn="1" w:lastColumn="0" w:noHBand="0" w:noVBand="1"/>
      </w:tblPr>
      <w:tblGrid>
        <w:gridCol w:w="135"/>
        <w:gridCol w:w="2235"/>
        <w:gridCol w:w="210"/>
        <w:gridCol w:w="2520"/>
        <w:gridCol w:w="210"/>
        <w:gridCol w:w="2520"/>
        <w:gridCol w:w="210"/>
        <w:gridCol w:w="2520"/>
      </w:tblGrid>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Заместитель генерального директора</w:t>
            </w: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top w:val="single" w:sz="5" w:space="0" w:color="auto"/>
            </w:tcBorders>
            <w:shd w:val="clear" w:color="auto" w:fill="auto"/>
          </w:tcPr>
          <w:p w:rsidR="00915A81" w:rsidRDefault="00E14DE7">
            <w:pPr>
              <w:jc w:val="center"/>
            </w:pPr>
            <w:r>
              <w:rPr>
                <w:sz w:val="18"/>
                <w:szCs w:val="18"/>
              </w:rPr>
              <w:t>(должность)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tcPr>
          <w:p w:rsidR="00915A81" w:rsidRDefault="00E14DE7">
            <w:pPr>
              <w:jc w:val="center"/>
            </w:pPr>
            <w:r>
              <w:rPr>
                <w:sz w:val="18"/>
                <w:szCs w:val="18"/>
              </w:rPr>
              <w:t>(подпись)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vAlign w:val="center"/>
          </w:tcPr>
          <w:p w:rsidR="00915A81" w:rsidRDefault="00E14DE7">
            <w:pPr>
              <w:jc w:val="center"/>
            </w:pPr>
            <w:r>
              <w:rPr>
                <w:sz w:val="18"/>
                <w:szCs w:val="18"/>
              </w:rPr>
              <w:t>Фамилия, имя, отчество (последнее – при наличии)</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28.07.2026</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bl>
    <w:p w:rsidR="00915A81" w:rsidRDefault="00915A81">
      <w:pPr>
        <w:sectPr w:rsidR="00915A81">
          <w:pgSz w:w="11907" w:h="16839"/>
          <w:pgMar w:top="567" w:right="567" w:bottom="567" w:left="567" w:header="720" w:footer="720" w:gutter="0"/>
          <w:cols w:space="720"/>
        </w:sectPr>
      </w:pPr>
    </w:p>
    <w:tbl>
      <w:tblPr>
        <w:tblStyle w:val="TableStyle85"/>
        <w:tblW w:w="15600" w:type="dxa"/>
        <w:tblInd w:w="57" w:type="dxa"/>
        <w:tblLayout w:type="fixed"/>
        <w:tblCellMar>
          <w:left w:w="57" w:type="dxa"/>
          <w:right w:w="57" w:type="dxa"/>
        </w:tblCellMar>
        <w:tblLook w:val="04A0" w:firstRow="1" w:lastRow="0" w:firstColumn="1" w:lastColumn="0" w:noHBand="0" w:noVBand="1"/>
      </w:tblPr>
      <w:tblGrid>
        <w:gridCol w:w="135"/>
        <w:gridCol w:w="3060"/>
        <w:gridCol w:w="1845"/>
        <w:gridCol w:w="2640"/>
        <w:gridCol w:w="2640"/>
        <w:gridCol w:w="2640"/>
        <w:gridCol w:w="2640"/>
      </w:tblGrid>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tc>
        <w:tc>
          <w:tcPr>
            <w:tcW w:w="2640"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5280" w:type="dxa"/>
            <w:gridSpan w:val="2"/>
            <w:shd w:val="clear" w:color="auto" w:fill="auto"/>
            <w:vAlign w:val="center"/>
          </w:tcPr>
          <w:p w:rsidR="00915A81" w:rsidRDefault="00E14DE7">
            <w:pPr>
              <w:jc w:val="right"/>
            </w:pPr>
            <w:r>
              <w:rPr>
                <w:b/>
                <w:sz w:val="18"/>
                <w:szCs w:val="18"/>
              </w:rPr>
              <w:t xml:space="preserve">Приложение 3 к Положению Банка России от 2 октября 2024 года N 843-П "О формах раскрытия информации в бухгалтерской (финансовой) отчетности отдельных </w:t>
            </w:r>
            <w:proofErr w:type="spellStart"/>
            <w:r>
              <w:rPr>
                <w:b/>
                <w:sz w:val="18"/>
                <w:szCs w:val="18"/>
              </w:rPr>
              <w:t>некредитных</w:t>
            </w:r>
            <w:proofErr w:type="spellEnd"/>
            <w:r>
              <w:rPr>
                <w:b/>
                <w:sz w:val="18"/>
                <w:szCs w:val="18"/>
              </w:rPr>
              <w:t xml:space="preserve">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бухгалтерской (финансовой) отчетности"</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tc>
        <w:tc>
          <w:tcPr>
            <w:tcW w:w="26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Код</w:t>
            </w:r>
          </w:p>
          <w:p w:rsidR="00915A81" w:rsidRDefault="00E14DE7">
            <w:pPr>
              <w:jc w:val="center"/>
            </w:pPr>
            <w:r>
              <w:rPr>
                <w:b/>
                <w:sz w:val="18"/>
                <w:szCs w:val="18"/>
              </w:rPr>
              <w:t>территории</w:t>
            </w:r>
          </w:p>
          <w:p w:rsidR="00915A81" w:rsidRDefault="00E14DE7">
            <w:pPr>
              <w:jc w:val="center"/>
            </w:pPr>
            <w:r>
              <w:rPr>
                <w:b/>
                <w:sz w:val="18"/>
                <w:szCs w:val="18"/>
              </w:rPr>
              <w:t>по ОКАТО</w:t>
            </w:r>
          </w:p>
        </w:tc>
        <w:tc>
          <w:tcPr>
            <w:tcW w:w="7920" w:type="dxa"/>
            <w:gridSpan w:val="3"/>
            <w:tcBorders>
              <w:top w:val="single" w:sz="5" w:space="0" w:color="auto"/>
              <w:left w:val="single" w:sz="5" w:space="0" w:color="auto"/>
            </w:tcBorders>
            <w:shd w:val="clear" w:color="auto" w:fill="auto"/>
            <w:vAlign w:val="center"/>
          </w:tcPr>
          <w:p w:rsidR="00915A81" w:rsidRDefault="00E14DE7">
            <w:pPr>
              <w:jc w:val="center"/>
            </w:pPr>
            <w:r>
              <w:rPr>
                <w:b/>
                <w:sz w:val="18"/>
                <w:szCs w:val="18"/>
              </w:rPr>
              <w:t>Код организации</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tc>
        <w:tc>
          <w:tcPr>
            <w:tcW w:w="2640"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по ОКПО</w:t>
            </w:r>
          </w:p>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ОГРН</w:t>
            </w:r>
          </w:p>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ИНН</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45296561000</w:t>
            </w:r>
          </w:p>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63682124</w:t>
            </w:r>
          </w:p>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1247700535697</w:t>
            </w:r>
          </w:p>
        </w:tc>
        <w:tc>
          <w:tcPr>
            <w:tcW w:w="26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9725165895</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5465" w:type="dxa"/>
            <w:gridSpan w:val="6"/>
            <w:shd w:val="clear" w:color="auto" w:fill="auto"/>
            <w:vAlign w:val="center"/>
          </w:tcPr>
          <w:p w:rsidR="00915A81" w:rsidRDefault="00E14DE7">
            <w:pPr>
              <w:jc w:val="center"/>
            </w:pPr>
            <w:r>
              <w:rPr>
                <w:b/>
                <w:sz w:val="24"/>
                <w:szCs w:val="24"/>
              </w:rPr>
              <w:t>ОТЧЕТ ОБ ИЗМЕНЕНИЯХ КАПИТАЛА ОРГАНИЗАЦИИ</w:t>
            </w:r>
          </w:p>
        </w:tc>
      </w:tr>
      <w:tr w:rsidR="00915A81">
        <w:trPr>
          <w:cantSplit/>
        </w:trPr>
        <w:tc>
          <w:tcPr>
            <w:tcW w:w="135" w:type="dxa"/>
            <w:shd w:val="clear" w:color="auto" w:fill="auto"/>
            <w:vAlign w:val="center"/>
          </w:tcPr>
          <w:p w:rsidR="00915A81" w:rsidRDefault="00915A81">
            <w:pPr>
              <w:jc w:val="center"/>
            </w:pPr>
          </w:p>
        </w:tc>
        <w:tc>
          <w:tcPr>
            <w:tcW w:w="15465" w:type="dxa"/>
            <w:gridSpan w:val="6"/>
            <w:shd w:val="clear" w:color="auto" w:fill="auto"/>
            <w:vAlign w:val="center"/>
          </w:tcPr>
          <w:p w:rsidR="00915A81" w:rsidRDefault="00E14DE7">
            <w:pPr>
              <w:jc w:val="center"/>
            </w:pPr>
            <w:r>
              <w:rPr>
                <w:b/>
                <w:sz w:val="24"/>
                <w:szCs w:val="24"/>
              </w:rPr>
              <w:t>за 1 полугодие 2026 г.</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5465" w:type="dxa"/>
            <w:gridSpan w:val="6"/>
            <w:tcBorders>
              <w:bottom w:val="none" w:sz="5" w:space="0" w:color="auto"/>
            </w:tcBorders>
            <w:shd w:val="clear" w:color="auto" w:fill="auto"/>
            <w:vAlign w:val="center"/>
          </w:tcPr>
          <w:p w:rsidR="00915A81" w:rsidRDefault="00E14DE7">
            <w:pPr>
              <w:wordWrap w:val="0"/>
              <w:jc w:val="center"/>
            </w:pPr>
            <w:r>
              <w:rPr>
                <w:b/>
                <w:sz w:val="18"/>
                <w:szCs w:val="18"/>
              </w:rPr>
              <w:t>Общество с ограниченной ответственностью "НЭКСТ"</w:t>
            </w: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5465" w:type="dxa"/>
            <w:gridSpan w:val="6"/>
            <w:tcBorders>
              <w:bottom w:val="single" w:sz="5" w:space="0" w:color="auto"/>
            </w:tcBorders>
            <w:shd w:val="clear" w:color="auto" w:fill="auto"/>
            <w:vAlign w:val="center"/>
          </w:tcPr>
          <w:p w:rsidR="00915A81" w:rsidRDefault="00E14DE7">
            <w:pPr>
              <w:wordWrap w:val="0"/>
              <w:jc w:val="center"/>
            </w:pPr>
            <w:r>
              <w:rPr>
                <w:b/>
                <w:sz w:val="18"/>
                <w:szCs w:val="18"/>
              </w:rPr>
              <w:t>ООО "НЭКСТ"</w:t>
            </w:r>
          </w:p>
        </w:tc>
      </w:tr>
      <w:tr w:rsidR="00915A81">
        <w:trPr>
          <w:cantSplit/>
        </w:trPr>
        <w:tc>
          <w:tcPr>
            <w:tcW w:w="135" w:type="dxa"/>
            <w:shd w:val="clear" w:color="auto" w:fill="auto"/>
            <w:vAlign w:val="center"/>
          </w:tcPr>
          <w:p w:rsidR="00915A81" w:rsidRDefault="00915A81">
            <w:pPr>
              <w:wordWrap w:val="0"/>
              <w:jc w:val="center"/>
            </w:pPr>
          </w:p>
        </w:tc>
        <w:tc>
          <w:tcPr>
            <w:tcW w:w="15465" w:type="dxa"/>
            <w:gridSpan w:val="6"/>
            <w:shd w:val="clear" w:color="auto" w:fill="auto"/>
            <w:vAlign w:val="center"/>
          </w:tcPr>
          <w:p w:rsidR="00915A81" w:rsidRDefault="00E14DE7">
            <w:pPr>
              <w:jc w:val="center"/>
            </w:pPr>
            <w:r>
              <w:rPr>
                <w:b/>
                <w:sz w:val="18"/>
                <w:szCs w:val="18"/>
              </w:rPr>
              <w:t>(полное и (или) сокращенное фирменные наименования)</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5465" w:type="dxa"/>
            <w:gridSpan w:val="6"/>
            <w:tcBorders>
              <w:bottom w:val="single" w:sz="5" w:space="0" w:color="auto"/>
            </w:tcBorders>
            <w:shd w:val="clear" w:color="auto" w:fill="auto"/>
            <w:vAlign w:val="center"/>
          </w:tcPr>
          <w:p w:rsidR="00915A81" w:rsidRDefault="00E14DE7">
            <w:pPr>
              <w:wordWrap w:val="0"/>
              <w:jc w:val="center"/>
            </w:pPr>
            <w:r>
              <w:rPr>
                <w:b/>
                <w:sz w:val="18"/>
                <w:szCs w:val="18"/>
              </w:rPr>
              <w:t xml:space="preserve">115162, </w:t>
            </w:r>
            <w:proofErr w:type="spellStart"/>
            <w:r>
              <w:rPr>
                <w:b/>
                <w:sz w:val="18"/>
                <w:szCs w:val="18"/>
              </w:rPr>
              <w:t>г</w:t>
            </w:r>
            <w:proofErr w:type="gramStart"/>
            <w:r>
              <w:rPr>
                <w:b/>
                <w:sz w:val="18"/>
                <w:szCs w:val="18"/>
              </w:rPr>
              <w:t>.М</w:t>
            </w:r>
            <w:proofErr w:type="gramEnd"/>
            <w:r>
              <w:rPr>
                <w:b/>
                <w:sz w:val="18"/>
                <w:szCs w:val="18"/>
              </w:rPr>
              <w:t>осква</w:t>
            </w:r>
            <w:proofErr w:type="spellEnd"/>
            <w:r>
              <w:rPr>
                <w:b/>
                <w:sz w:val="18"/>
                <w:szCs w:val="18"/>
              </w:rPr>
              <w:t xml:space="preserve">. </w:t>
            </w:r>
            <w:proofErr w:type="spellStart"/>
            <w:r>
              <w:rPr>
                <w:b/>
                <w:sz w:val="18"/>
                <w:szCs w:val="18"/>
              </w:rPr>
              <w:t>вн.тер.г.Муниципальный</w:t>
            </w:r>
            <w:proofErr w:type="spellEnd"/>
            <w:r>
              <w:rPr>
                <w:b/>
                <w:sz w:val="18"/>
                <w:szCs w:val="18"/>
              </w:rPr>
              <w:t xml:space="preserve"> Округ Донской. </w:t>
            </w:r>
            <w:proofErr w:type="spellStart"/>
            <w:proofErr w:type="gramStart"/>
            <w:r>
              <w:rPr>
                <w:b/>
                <w:sz w:val="18"/>
                <w:szCs w:val="18"/>
              </w:rPr>
              <w:t>Ул</w:t>
            </w:r>
            <w:proofErr w:type="spellEnd"/>
            <w:proofErr w:type="gramEnd"/>
            <w:r>
              <w:rPr>
                <w:b/>
                <w:sz w:val="18"/>
                <w:szCs w:val="18"/>
              </w:rPr>
              <w:t xml:space="preserve"> Шухова. Дом 14. строение 11</w:t>
            </w:r>
          </w:p>
        </w:tc>
      </w:tr>
      <w:tr w:rsidR="00915A81">
        <w:trPr>
          <w:cantSplit/>
        </w:trPr>
        <w:tc>
          <w:tcPr>
            <w:tcW w:w="135" w:type="dxa"/>
            <w:shd w:val="clear" w:color="auto" w:fill="auto"/>
            <w:vAlign w:val="center"/>
          </w:tcPr>
          <w:p w:rsidR="00915A81" w:rsidRDefault="00915A81"/>
        </w:tc>
        <w:tc>
          <w:tcPr>
            <w:tcW w:w="15465" w:type="dxa"/>
            <w:gridSpan w:val="6"/>
            <w:shd w:val="clear" w:color="auto" w:fill="auto"/>
            <w:vAlign w:val="center"/>
          </w:tcPr>
          <w:p w:rsidR="00915A81" w:rsidRDefault="00E14DE7">
            <w:pPr>
              <w:jc w:val="center"/>
            </w:pPr>
            <w:r>
              <w:rPr>
                <w:b/>
                <w:sz w:val="18"/>
                <w:szCs w:val="18"/>
              </w:rPr>
              <w:t>(адрес организации в пределах места нахождения организации)</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right"/>
            </w:pPr>
          </w:p>
        </w:tc>
        <w:tc>
          <w:tcPr>
            <w:tcW w:w="1845" w:type="dxa"/>
            <w:shd w:val="clear" w:color="auto" w:fill="auto"/>
            <w:vAlign w:val="center"/>
          </w:tcPr>
          <w:p w:rsidR="00915A81" w:rsidRDefault="00915A81"/>
        </w:tc>
        <w:tc>
          <w:tcPr>
            <w:tcW w:w="2640" w:type="dxa"/>
            <w:shd w:val="clear" w:color="auto" w:fill="auto"/>
            <w:vAlign w:val="center"/>
          </w:tcPr>
          <w:p w:rsidR="00915A81" w:rsidRDefault="00915A81"/>
        </w:tc>
        <w:tc>
          <w:tcPr>
            <w:tcW w:w="2640"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264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pPr>
              <w:jc w:val="right"/>
            </w:pPr>
          </w:p>
        </w:tc>
        <w:tc>
          <w:tcPr>
            <w:tcW w:w="3060" w:type="dxa"/>
            <w:shd w:val="clear" w:color="auto" w:fill="auto"/>
            <w:vAlign w:val="center"/>
          </w:tcPr>
          <w:p w:rsidR="00915A81" w:rsidRDefault="00915A81">
            <w:pPr>
              <w:jc w:val="right"/>
            </w:pPr>
          </w:p>
        </w:tc>
        <w:tc>
          <w:tcPr>
            <w:tcW w:w="1845" w:type="dxa"/>
            <w:shd w:val="clear" w:color="auto" w:fill="auto"/>
            <w:vAlign w:val="center"/>
          </w:tcPr>
          <w:p w:rsidR="00915A81" w:rsidRDefault="00915A81"/>
        </w:tc>
        <w:tc>
          <w:tcPr>
            <w:tcW w:w="2640" w:type="dxa"/>
            <w:shd w:val="clear" w:color="auto" w:fill="auto"/>
            <w:vAlign w:val="center"/>
          </w:tcPr>
          <w:p w:rsidR="00915A81" w:rsidRDefault="00915A81"/>
        </w:tc>
        <w:tc>
          <w:tcPr>
            <w:tcW w:w="2640" w:type="dxa"/>
            <w:shd w:val="clear" w:color="auto" w:fill="auto"/>
            <w:vAlign w:val="center"/>
          </w:tcPr>
          <w:p w:rsidR="00915A81" w:rsidRDefault="00915A81">
            <w:pPr>
              <w:jc w:val="right"/>
            </w:pPr>
          </w:p>
        </w:tc>
        <w:tc>
          <w:tcPr>
            <w:tcW w:w="5280" w:type="dxa"/>
            <w:gridSpan w:val="2"/>
            <w:shd w:val="clear" w:color="auto" w:fill="auto"/>
            <w:vAlign w:val="center"/>
          </w:tcPr>
          <w:p w:rsidR="00915A81" w:rsidRDefault="00E14DE7">
            <w:pPr>
              <w:jc w:val="right"/>
            </w:pPr>
            <w:r>
              <w:rPr>
                <w:b/>
                <w:sz w:val="18"/>
                <w:szCs w:val="18"/>
              </w:rPr>
              <w:t>Код формы по ОКУД 0420004</w:t>
            </w:r>
          </w:p>
        </w:tc>
      </w:tr>
      <w:tr w:rsidR="00915A81">
        <w:trPr>
          <w:cantSplit/>
        </w:trPr>
        <w:tc>
          <w:tcPr>
            <w:tcW w:w="135" w:type="dxa"/>
            <w:shd w:val="clear" w:color="auto" w:fill="auto"/>
            <w:vAlign w:val="center"/>
          </w:tcPr>
          <w:p w:rsidR="00915A81" w:rsidRDefault="00915A81">
            <w:pPr>
              <w:jc w:val="right"/>
            </w:pPr>
          </w:p>
        </w:tc>
        <w:tc>
          <w:tcPr>
            <w:tcW w:w="3060" w:type="dxa"/>
            <w:shd w:val="clear" w:color="auto" w:fill="auto"/>
            <w:vAlign w:val="center"/>
          </w:tcPr>
          <w:p w:rsidR="00915A81" w:rsidRDefault="00915A81">
            <w:pPr>
              <w:jc w:val="right"/>
            </w:pPr>
          </w:p>
        </w:tc>
        <w:tc>
          <w:tcPr>
            <w:tcW w:w="1845"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5280" w:type="dxa"/>
            <w:gridSpan w:val="2"/>
            <w:shd w:val="clear" w:color="auto" w:fill="auto"/>
            <w:vAlign w:val="center"/>
          </w:tcPr>
          <w:p w:rsidR="00915A81" w:rsidRDefault="00E14DE7">
            <w:pPr>
              <w:jc w:val="right"/>
            </w:pPr>
            <w:proofErr w:type="gramStart"/>
            <w:r>
              <w:rPr>
                <w:b/>
                <w:sz w:val="18"/>
                <w:szCs w:val="18"/>
              </w:rPr>
              <w:t>Годовая</w:t>
            </w:r>
            <w:proofErr w:type="gramEnd"/>
            <w:r>
              <w:rPr>
                <w:b/>
                <w:sz w:val="18"/>
                <w:szCs w:val="18"/>
              </w:rPr>
              <w:t xml:space="preserve"> (квартальная, полугодовая, за 9 месяцев)</w:t>
            </w:r>
          </w:p>
        </w:tc>
      </w:tr>
      <w:tr w:rsidR="00915A81">
        <w:trPr>
          <w:cantSplit/>
        </w:trPr>
        <w:tc>
          <w:tcPr>
            <w:tcW w:w="135" w:type="dxa"/>
            <w:shd w:val="clear" w:color="auto" w:fill="auto"/>
            <w:vAlign w:val="center"/>
          </w:tcPr>
          <w:p w:rsidR="00915A81" w:rsidRDefault="00915A81">
            <w:pPr>
              <w:jc w:val="right"/>
            </w:pPr>
          </w:p>
        </w:tc>
        <w:tc>
          <w:tcPr>
            <w:tcW w:w="3060" w:type="dxa"/>
            <w:shd w:val="clear" w:color="auto" w:fill="auto"/>
            <w:vAlign w:val="center"/>
          </w:tcPr>
          <w:p w:rsidR="00915A81" w:rsidRDefault="00915A81">
            <w:pPr>
              <w:jc w:val="right"/>
            </w:pPr>
          </w:p>
        </w:tc>
        <w:tc>
          <w:tcPr>
            <w:tcW w:w="1845"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2640" w:type="dxa"/>
            <w:shd w:val="clear" w:color="auto" w:fill="auto"/>
            <w:vAlign w:val="center"/>
          </w:tcPr>
          <w:p w:rsidR="00915A81" w:rsidRDefault="00915A81">
            <w:pPr>
              <w:jc w:val="right"/>
            </w:pPr>
          </w:p>
        </w:tc>
        <w:tc>
          <w:tcPr>
            <w:tcW w:w="5280" w:type="dxa"/>
            <w:gridSpan w:val="2"/>
            <w:shd w:val="clear" w:color="auto" w:fill="auto"/>
            <w:vAlign w:val="center"/>
          </w:tcPr>
          <w:p w:rsidR="00915A81" w:rsidRDefault="00E14DE7">
            <w:pPr>
              <w:jc w:val="right"/>
            </w:pPr>
            <w:r>
              <w:rPr>
                <w:sz w:val="18"/>
                <w:szCs w:val="18"/>
              </w:rPr>
              <w:t>тыс. руб.</w:t>
            </w:r>
          </w:p>
        </w:tc>
      </w:tr>
      <w:tr w:rsidR="00915A81">
        <w:trPr>
          <w:cantSplit/>
        </w:trPr>
        <w:tc>
          <w:tcPr>
            <w:tcW w:w="135" w:type="dxa"/>
            <w:shd w:val="clear" w:color="auto" w:fill="auto"/>
            <w:vAlign w:val="center"/>
          </w:tcPr>
          <w:p w:rsidR="00915A81" w:rsidRDefault="00915A81">
            <w:pPr>
              <w:jc w:val="center"/>
            </w:pPr>
          </w:p>
        </w:tc>
        <w:tc>
          <w:tcPr>
            <w:tcW w:w="3060" w:type="dxa"/>
            <w:shd w:val="clear" w:color="auto" w:fill="auto"/>
            <w:vAlign w:val="center"/>
          </w:tcPr>
          <w:p w:rsidR="00915A81" w:rsidRDefault="00915A81">
            <w:pPr>
              <w:jc w:val="center"/>
            </w:pPr>
          </w:p>
        </w:tc>
        <w:tc>
          <w:tcPr>
            <w:tcW w:w="1845"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c>
          <w:tcPr>
            <w:tcW w:w="2640" w:type="dxa"/>
            <w:shd w:val="clear" w:color="auto" w:fill="auto"/>
            <w:vAlign w:val="center"/>
          </w:tcPr>
          <w:p w:rsidR="00915A81" w:rsidRDefault="00915A81">
            <w:pPr>
              <w:jc w:val="center"/>
            </w:pPr>
          </w:p>
        </w:tc>
      </w:tr>
    </w:tbl>
    <w:tbl>
      <w:tblPr>
        <w:tblStyle w:val="TableStyle86"/>
        <w:tblW w:w="15600" w:type="dxa"/>
        <w:tblInd w:w="57" w:type="dxa"/>
        <w:tblLayout w:type="fixed"/>
        <w:tblCellMar>
          <w:left w:w="57" w:type="dxa"/>
          <w:right w:w="57" w:type="dxa"/>
        </w:tblCellMar>
        <w:tblLook w:val="04A0" w:firstRow="1" w:lastRow="0" w:firstColumn="1" w:lastColumn="0" w:noHBand="0" w:noVBand="1"/>
      </w:tblPr>
      <w:tblGrid>
        <w:gridCol w:w="135"/>
        <w:gridCol w:w="495"/>
        <w:gridCol w:w="4545"/>
        <w:gridCol w:w="2280"/>
        <w:gridCol w:w="2040"/>
        <w:gridCol w:w="2025"/>
        <w:gridCol w:w="2040"/>
        <w:gridCol w:w="2040"/>
      </w:tblGrid>
      <w:tr w:rsidR="00915A81">
        <w:trPr>
          <w:cantSplit/>
          <w:trHeight w:val="189"/>
        </w:trPr>
        <w:tc>
          <w:tcPr>
            <w:tcW w:w="135" w:type="dxa"/>
            <w:shd w:val="clear" w:color="auto" w:fill="auto"/>
            <w:textDirection w:val="btLr"/>
            <w:vAlign w:val="center"/>
          </w:tcPr>
          <w:p w:rsidR="00915A81" w:rsidRDefault="00915A81"/>
        </w:tc>
        <w:tc>
          <w:tcPr>
            <w:tcW w:w="49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Номер показателя</w:t>
            </w:r>
          </w:p>
        </w:tc>
        <w:tc>
          <w:tcPr>
            <w:tcW w:w="45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Наименование показателя</w:t>
            </w:r>
          </w:p>
        </w:tc>
        <w:tc>
          <w:tcPr>
            <w:tcW w:w="22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Номер примечания</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Уставный капитал</w:t>
            </w:r>
          </w:p>
        </w:tc>
        <w:tc>
          <w:tcPr>
            <w:tcW w:w="202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Добавочный капитал</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Нераспределенная прибыль (непокрытый убыток)</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Итого</w:t>
            </w:r>
          </w:p>
        </w:tc>
      </w:tr>
      <w:tr w:rsidR="00915A81">
        <w:trPr>
          <w:cantSplit/>
        </w:trPr>
        <w:tc>
          <w:tcPr>
            <w:tcW w:w="135" w:type="dxa"/>
            <w:shd w:val="clear" w:color="auto" w:fill="auto"/>
            <w:vAlign w:val="center"/>
          </w:tcPr>
          <w:p w:rsidR="00915A81" w:rsidRDefault="00915A81">
            <w:pPr>
              <w:jc w:val="center"/>
            </w:pPr>
          </w:p>
        </w:tc>
        <w:tc>
          <w:tcPr>
            <w:tcW w:w="49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454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2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02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2</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4</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5</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6</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7</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01.01.2025 г.</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(279)</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119 721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01.01.2025 г., пересмотренный</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(279)</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119 721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3</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01.01.2025 г.</w:t>
            </w:r>
          </w:p>
        </w:tc>
        <w:tc>
          <w:tcPr>
            <w:tcW w:w="2280" w:type="dxa"/>
            <w:tcBorders>
              <w:top w:val="single" w:sz="5" w:space="0" w:color="auto"/>
              <w:left w:val="single" w:sz="5" w:space="0" w:color="auto"/>
              <w:bottom w:val="single" w:sz="5" w:space="0" w:color="auto"/>
              <w:right w:val="single" w:sz="5" w:space="0" w:color="auto"/>
            </w:tcBorders>
            <w:shd w:val="clear" w:color="auto" w:fill="auto"/>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(279)</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119 721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4</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Прибыль (убыток) после налогообложения</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4 610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4 610</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5</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30.06.2025 г.</w:t>
            </w:r>
          </w:p>
        </w:tc>
        <w:tc>
          <w:tcPr>
            <w:tcW w:w="2280" w:type="dxa"/>
            <w:tcBorders>
              <w:top w:val="single" w:sz="5" w:space="0" w:color="auto"/>
              <w:left w:val="single" w:sz="5" w:space="0" w:color="auto"/>
              <w:bottom w:val="single" w:sz="5" w:space="0" w:color="auto"/>
              <w:right w:val="single" w:sz="5" w:space="0" w:color="auto"/>
            </w:tcBorders>
            <w:shd w:val="clear" w:color="auto" w:fill="auto"/>
          </w:tcPr>
          <w:p w:rsidR="00915A81" w:rsidRDefault="00915A81">
            <w:pPr>
              <w:wordWrap w:val="0"/>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4 331</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124 331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6</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01.01.2026 г.</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28 281</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148 281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7</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01.01.2026 г., пересмотренный</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28 281</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148 281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8</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Остаток на 01.01.2026 г.</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28 281</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148 281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9</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Прибыль (убыток) после налогообложения</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34 800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34 800</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10</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2"/>
                <w:szCs w:val="12"/>
              </w:rPr>
              <w:t>Дивиденды (распределенная прибыль)</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19</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(28 281)</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(28 281)</w:t>
            </w:r>
          </w:p>
        </w:tc>
      </w:tr>
      <w:tr w:rsidR="00915A81">
        <w:trPr>
          <w:cantSplit/>
        </w:trPr>
        <w:tc>
          <w:tcPr>
            <w:tcW w:w="135" w:type="dxa"/>
            <w:shd w:val="clear" w:color="auto" w:fill="auto"/>
            <w:vAlign w:val="center"/>
          </w:tcPr>
          <w:p w:rsidR="00915A81" w:rsidRDefault="00915A81">
            <w:pPr>
              <w:jc w:val="center"/>
            </w:pPr>
          </w:p>
        </w:tc>
        <w:tc>
          <w:tcPr>
            <w:tcW w:w="49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2"/>
                <w:szCs w:val="12"/>
              </w:rPr>
              <w:t>11</w:t>
            </w:r>
          </w:p>
        </w:tc>
        <w:tc>
          <w:tcPr>
            <w:tcW w:w="454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2"/>
                <w:szCs w:val="12"/>
              </w:rPr>
              <w:t>Остаток на 30.06.2026 г., в том числе:</w:t>
            </w:r>
          </w:p>
        </w:tc>
        <w:tc>
          <w:tcPr>
            <w:tcW w:w="228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20 000</w:t>
            </w:r>
          </w:p>
        </w:tc>
        <w:tc>
          <w:tcPr>
            <w:tcW w:w="202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100 000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34 800</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2"/>
                <w:szCs w:val="12"/>
              </w:rPr>
              <w:t>154 800</w:t>
            </w:r>
          </w:p>
        </w:tc>
      </w:tr>
    </w:tbl>
    <w:p w:rsidR="00915A81" w:rsidRDefault="00E14DE7">
      <w:r>
        <w:br w:type="page"/>
      </w:r>
    </w:p>
    <w:tbl>
      <w:tblPr>
        <w:tblStyle w:val="TableStyle87"/>
        <w:tblW w:w="10560" w:type="dxa"/>
        <w:tblInd w:w="57" w:type="dxa"/>
        <w:tblLayout w:type="fixed"/>
        <w:tblCellMar>
          <w:left w:w="57" w:type="dxa"/>
          <w:right w:w="57" w:type="dxa"/>
        </w:tblCellMar>
        <w:tblLook w:val="04A0" w:firstRow="1" w:lastRow="0" w:firstColumn="1" w:lastColumn="0" w:noHBand="0" w:noVBand="1"/>
      </w:tblPr>
      <w:tblGrid>
        <w:gridCol w:w="135"/>
        <w:gridCol w:w="2235"/>
        <w:gridCol w:w="210"/>
        <w:gridCol w:w="2520"/>
        <w:gridCol w:w="210"/>
        <w:gridCol w:w="2520"/>
        <w:gridCol w:w="210"/>
        <w:gridCol w:w="2520"/>
      </w:tblGrid>
      <w:tr w:rsidR="00915A81">
        <w:trPr>
          <w:cantSplit/>
        </w:trPr>
        <w:tc>
          <w:tcPr>
            <w:tcW w:w="135" w:type="dxa"/>
            <w:shd w:val="clear" w:color="auto" w:fill="auto"/>
            <w:vAlign w:val="bottom"/>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bottom"/>
          </w:tcPr>
          <w:p w:rsidR="00915A81" w:rsidRDefault="00915A81"/>
        </w:tc>
        <w:tc>
          <w:tcPr>
            <w:tcW w:w="2520" w:type="dxa"/>
            <w:shd w:val="clear" w:color="auto" w:fill="auto"/>
            <w:vAlign w:val="bottom"/>
          </w:tcPr>
          <w:p w:rsidR="00915A81" w:rsidRDefault="00915A81"/>
        </w:tc>
      </w:tr>
      <w:tr w:rsidR="00915A81">
        <w:trPr>
          <w:cantSplit/>
        </w:trPr>
        <w:tc>
          <w:tcPr>
            <w:tcW w:w="135" w:type="dxa"/>
            <w:shd w:val="clear" w:color="auto" w:fill="auto"/>
            <w:vAlign w:val="bottom"/>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Заместитель генерального директора</w:t>
            </w: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shd w:val="clear" w:color="auto" w:fill="auto"/>
            <w:vAlign w:val="bottom"/>
          </w:tcPr>
          <w:p w:rsidR="00915A81" w:rsidRDefault="00915A81"/>
        </w:tc>
      </w:tr>
      <w:tr w:rsidR="00915A81">
        <w:trPr>
          <w:cantSplit/>
        </w:trPr>
        <w:tc>
          <w:tcPr>
            <w:tcW w:w="135" w:type="dxa"/>
            <w:shd w:val="clear" w:color="auto" w:fill="auto"/>
            <w:vAlign w:val="bottom"/>
          </w:tcPr>
          <w:p w:rsidR="00915A81" w:rsidRDefault="00915A81"/>
        </w:tc>
        <w:tc>
          <w:tcPr>
            <w:tcW w:w="2235" w:type="dxa"/>
            <w:tcBorders>
              <w:top w:val="single" w:sz="5" w:space="0" w:color="auto"/>
            </w:tcBorders>
            <w:shd w:val="clear" w:color="auto" w:fill="auto"/>
          </w:tcPr>
          <w:p w:rsidR="00915A81" w:rsidRDefault="00E14DE7">
            <w:pPr>
              <w:jc w:val="center"/>
            </w:pPr>
            <w:r>
              <w:rPr>
                <w:sz w:val="18"/>
                <w:szCs w:val="18"/>
              </w:rPr>
              <w:t>(должность)</w:t>
            </w:r>
          </w:p>
        </w:tc>
        <w:tc>
          <w:tcPr>
            <w:tcW w:w="210" w:type="dxa"/>
            <w:shd w:val="clear" w:color="auto" w:fill="auto"/>
            <w:vAlign w:val="bottom"/>
          </w:tcPr>
          <w:p w:rsidR="00915A81" w:rsidRDefault="00915A81"/>
        </w:tc>
        <w:tc>
          <w:tcPr>
            <w:tcW w:w="2520" w:type="dxa"/>
            <w:tcBorders>
              <w:top w:val="single" w:sz="5" w:space="0" w:color="auto"/>
            </w:tcBorders>
            <w:shd w:val="clear" w:color="auto" w:fill="auto"/>
          </w:tcPr>
          <w:p w:rsidR="00915A81" w:rsidRDefault="00E14DE7">
            <w:pPr>
              <w:jc w:val="center"/>
            </w:pPr>
            <w:r>
              <w:rPr>
                <w:sz w:val="18"/>
                <w:szCs w:val="18"/>
              </w:rPr>
              <w:t>(подпись)</w:t>
            </w:r>
          </w:p>
        </w:tc>
        <w:tc>
          <w:tcPr>
            <w:tcW w:w="210" w:type="dxa"/>
            <w:shd w:val="clear" w:color="auto" w:fill="auto"/>
            <w:vAlign w:val="bottom"/>
          </w:tcPr>
          <w:p w:rsidR="00915A81" w:rsidRDefault="00915A81"/>
        </w:tc>
        <w:tc>
          <w:tcPr>
            <w:tcW w:w="2520" w:type="dxa"/>
            <w:tcBorders>
              <w:top w:val="single" w:sz="5" w:space="0" w:color="auto"/>
            </w:tcBorders>
            <w:shd w:val="clear" w:color="auto" w:fill="auto"/>
            <w:vAlign w:val="bottom"/>
          </w:tcPr>
          <w:p w:rsidR="00915A81" w:rsidRDefault="00E14DE7">
            <w:pPr>
              <w:jc w:val="center"/>
            </w:pPr>
            <w:r>
              <w:rPr>
                <w:sz w:val="18"/>
                <w:szCs w:val="18"/>
              </w:rPr>
              <w:t>Фамилия, имя, отчество (последнее – при наличии)</w:t>
            </w:r>
          </w:p>
        </w:tc>
        <w:tc>
          <w:tcPr>
            <w:tcW w:w="210" w:type="dxa"/>
            <w:shd w:val="clear" w:color="auto" w:fill="auto"/>
            <w:vAlign w:val="bottom"/>
          </w:tcPr>
          <w:p w:rsidR="00915A81" w:rsidRDefault="00915A81"/>
        </w:tc>
        <w:tc>
          <w:tcPr>
            <w:tcW w:w="2520" w:type="dxa"/>
            <w:shd w:val="clear" w:color="auto" w:fill="auto"/>
            <w:vAlign w:val="bottom"/>
          </w:tcPr>
          <w:p w:rsidR="00915A81" w:rsidRDefault="00915A81"/>
        </w:tc>
      </w:tr>
      <w:tr w:rsidR="00915A81">
        <w:trPr>
          <w:cantSplit/>
        </w:trPr>
        <w:tc>
          <w:tcPr>
            <w:tcW w:w="135" w:type="dxa"/>
            <w:shd w:val="clear" w:color="auto" w:fill="auto"/>
            <w:vAlign w:val="bottom"/>
          </w:tcPr>
          <w:p w:rsidR="00915A81" w:rsidRDefault="00915A81"/>
        </w:tc>
        <w:tc>
          <w:tcPr>
            <w:tcW w:w="2235" w:type="dxa"/>
            <w:shd w:val="clear" w:color="auto" w:fill="auto"/>
            <w:vAlign w:val="bottom"/>
          </w:tcPr>
          <w:p w:rsidR="00915A81" w:rsidRDefault="00915A81"/>
        </w:tc>
        <w:tc>
          <w:tcPr>
            <w:tcW w:w="210" w:type="dxa"/>
            <w:shd w:val="clear" w:color="auto" w:fill="auto"/>
            <w:vAlign w:val="bottom"/>
          </w:tcPr>
          <w:p w:rsidR="00915A81" w:rsidRDefault="00915A81"/>
        </w:tc>
        <w:tc>
          <w:tcPr>
            <w:tcW w:w="2520" w:type="dxa"/>
            <w:shd w:val="clear" w:color="auto" w:fill="auto"/>
            <w:vAlign w:val="bottom"/>
          </w:tcPr>
          <w:p w:rsidR="00915A81" w:rsidRDefault="00915A81"/>
        </w:tc>
        <w:tc>
          <w:tcPr>
            <w:tcW w:w="210" w:type="dxa"/>
            <w:shd w:val="clear" w:color="auto" w:fill="auto"/>
            <w:vAlign w:val="bottom"/>
          </w:tcPr>
          <w:p w:rsidR="00915A81" w:rsidRDefault="00915A81"/>
        </w:tc>
        <w:tc>
          <w:tcPr>
            <w:tcW w:w="2520" w:type="dxa"/>
            <w:shd w:val="clear" w:color="auto" w:fill="auto"/>
            <w:vAlign w:val="bottom"/>
          </w:tcPr>
          <w:p w:rsidR="00915A81" w:rsidRDefault="00915A81"/>
        </w:tc>
        <w:tc>
          <w:tcPr>
            <w:tcW w:w="210" w:type="dxa"/>
            <w:shd w:val="clear" w:color="auto" w:fill="auto"/>
            <w:vAlign w:val="bottom"/>
          </w:tcPr>
          <w:p w:rsidR="00915A81" w:rsidRDefault="00915A81"/>
        </w:tc>
        <w:tc>
          <w:tcPr>
            <w:tcW w:w="2520" w:type="dxa"/>
            <w:shd w:val="clear" w:color="auto" w:fill="auto"/>
            <w:vAlign w:val="bottom"/>
          </w:tcPr>
          <w:p w:rsidR="00915A81" w:rsidRDefault="00915A81"/>
        </w:tc>
      </w:tr>
      <w:tr w:rsidR="00915A81">
        <w:trPr>
          <w:cantSplit/>
        </w:trPr>
        <w:tc>
          <w:tcPr>
            <w:tcW w:w="135" w:type="dxa"/>
            <w:shd w:val="clear" w:color="auto" w:fill="auto"/>
            <w:vAlign w:val="bottom"/>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28.07.2026</w:t>
            </w:r>
          </w:p>
        </w:tc>
        <w:tc>
          <w:tcPr>
            <w:tcW w:w="210" w:type="dxa"/>
            <w:shd w:val="clear" w:color="auto" w:fill="auto"/>
            <w:vAlign w:val="bottom"/>
          </w:tcPr>
          <w:p w:rsidR="00915A81" w:rsidRDefault="00915A81"/>
        </w:tc>
        <w:tc>
          <w:tcPr>
            <w:tcW w:w="2520" w:type="dxa"/>
            <w:shd w:val="clear" w:color="auto" w:fill="auto"/>
            <w:vAlign w:val="bottom"/>
          </w:tcPr>
          <w:p w:rsidR="00915A81" w:rsidRDefault="00915A81"/>
        </w:tc>
        <w:tc>
          <w:tcPr>
            <w:tcW w:w="210" w:type="dxa"/>
            <w:shd w:val="clear" w:color="auto" w:fill="auto"/>
            <w:vAlign w:val="bottom"/>
          </w:tcPr>
          <w:p w:rsidR="00915A81" w:rsidRDefault="00915A81"/>
        </w:tc>
        <w:tc>
          <w:tcPr>
            <w:tcW w:w="2520" w:type="dxa"/>
            <w:shd w:val="clear" w:color="auto" w:fill="auto"/>
            <w:vAlign w:val="bottom"/>
          </w:tcPr>
          <w:p w:rsidR="00915A81" w:rsidRDefault="00915A81"/>
        </w:tc>
        <w:tc>
          <w:tcPr>
            <w:tcW w:w="210" w:type="dxa"/>
            <w:shd w:val="clear" w:color="auto" w:fill="auto"/>
            <w:vAlign w:val="bottom"/>
          </w:tcPr>
          <w:p w:rsidR="00915A81" w:rsidRDefault="00915A81"/>
        </w:tc>
        <w:tc>
          <w:tcPr>
            <w:tcW w:w="2520" w:type="dxa"/>
            <w:shd w:val="clear" w:color="auto" w:fill="auto"/>
            <w:vAlign w:val="bottom"/>
          </w:tcPr>
          <w:p w:rsidR="00915A81" w:rsidRDefault="00915A81"/>
        </w:tc>
      </w:tr>
    </w:tbl>
    <w:p w:rsidR="00915A81" w:rsidRDefault="00915A81">
      <w:pPr>
        <w:sectPr w:rsidR="00915A81">
          <w:pgSz w:w="16839" w:h="11907" w:orient="landscape"/>
          <w:pgMar w:top="567" w:right="567" w:bottom="567" w:left="567" w:header="720" w:footer="720" w:gutter="0"/>
          <w:cols w:space="720"/>
        </w:sectPr>
      </w:pPr>
    </w:p>
    <w:tbl>
      <w:tblPr>
        <w:tblStyle w:val="TableStyle88"/>
        <w:tblW w:w="10560" w:type="dxa"/>
        <w:tblInd w:w="57" w:type="dxa"/>
        <w:tblLayout w:type="fixed"/>
        <w:tblCellMar>
          <w:left w:w="57" w:type="dxa"/>
          <w:right w:w="57" w:type="dxa"/>
        </w:tblCellMar>
        <w:tblLook w:val="04A0" w:firstRow="1" w:lastRow="0" w:firstColumn="1" w:lastColumn="0" w:noHBand="0" w:noVBand="1"/>
      </w:tblPr>
      <w:tblGrid>
        <w:gridCol w:w="135"/>
        <w:gridCol w:w="660"/>
        <w:gridCol w:w="360"/>
        <w:gridCol w:w="2355"/>
        <w:gridCol w:w="2340"/>
        <w:gridCol w:w="2355"/>
        <w:gridCol w:w="2355"/>
      </w:tblGrid>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 xml:space="preserve">Приложение 4 к Положению Банка России от 2 октября 2024 года N 843-П "О формах раскрытия информации в бухгалтерской (финансовой) отчетности отдельных </w:t>
            </w:r>
            <w:proofErr w:type="spellStart"/>
            <w:r>
              <w:rPr>
                <w:b/>
                <w:sz w:val="18"/>
                <w:szCs w:val="18"/>
              </w:rPr>
              <w:t>некредитных</w:t>
            </w:r>
            <w:proofErr w:type="spellEnd"/>
            <w:r>
              <w:rPr>
                <w:b/>
                <w:sz w:val="18"/>
                <w:szCs w:val="18"/>
              </w:rPr>
              <w:t xml:space="preserve">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бухгалтерской (финансовой) отчетности"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Код</w:t>
            </w:r>
          </w:p>
          <w:p w:rsidR="00915A81" w:rsidRDefault="00E14DE7">
            <w:pPr>
              <w:jc w:val="center"/>
            </w:pPr>
            <w:r>
              <w:rPr>
                <w:b/>
                <w:sz w:val="18"/>
                <w:szCs w:val="18"/>
              </w:rPr>
              <w:t>территории</w:t>
            </w:r>
          </w:p>
          <w:p w:rsidR="00915A81" w:rsidRDefault="00E14DE7">
            <w:pPr>
              <w:jc w:val="center"/>
            </w:pPr>
            <w:r>
              <w:rPr>
                <w:b/>
                <w:sz w:val="18"/>
                <w:szCs w:val="18"/>
              </w:rPr>
              <w:t>по ОКАТО</w:t>
            </w:r>
          </w:p>
        </w:tc>
        <w:tc>
          <w:tcPr>
            <w:tcW w:w="7050" w:type="dxa"/>
            <w:gridSpan w:val="3"/>
            <w:tcBorders>
              <w:top w:val="single" w:sz="5" w:space="0" w:color="auto"/>
              <w:left w:val="single" w:sz="5" w:space="0" w:color="auto"/>
              <w:right w:val="single" w:sz="5" w:space="0" w:color="auto"/>
            </w:tcBorders>
            <w:shd w:val="clear" w:color="auto" w:fill="auto"/>
            <w:vAlign w:val="center"/>
          </w:tcPr>
          <w:p w:rsidR="00915A81" w:rsidRDefault="00E14DE7">
            <w:pPr>
              <w:jc w:val="center"/>
            </w:pPr>
            <w:r>
              <w:rPr>
                <w:b/>
                <w:sz w:val="18"/>
                <w:szCs w:val="18"/>
              </w:rPr>
              <w:t>Код организации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vMerge/>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по ОКПО</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ОГРН</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ИНН</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45296561000</w:t>
            </w:r>
          </w:p>
        </w:tc>
        <w:tc>
          <w:tcPr>
            <w:tcW w:w="234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63682124</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1247700535697</w:t>
            </w:r>
          </w:p>
        </w:tc>
        <w:tc>
          <w:tcPr>
            <w:tcW w:w="235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9725165895</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24"/>
                <w:szCs w:val="24"/>
              </w:rPr>
              <w:t>ОТЧЕТ О ДВИЖЕНИИ ДЕНЕЖНЫХ СРЕДСТВ ОРГАНИЗАЦИИ</w:t>
            </w:r>
          </w:p>
        </w:tc>
      </w:tr>
      <w:tr w:rsidR="00915A81">
        <w:trPr>
          <w:cantSplit/>
        </w:trPr>
        <w:tc>
          <w:tcPr>
            <w:tcW w:w="135" w:type="dxa"/>
            <w:shd w:val="clear" w:color="auto" w:fill="auto"/>
            <w:vAlign w:val="center"/>
          </w:tcPr>
          <w:p w:rsidR="00915A81" w:rsidRDefault="00915A81">
            <w:pPr>
              <w:jc w:val="center"/>
            </w:pPr>
          </w:p>
        </w:tc>
        <w:tc>
          <w:tcPr>
            <w:tcW w:w="10425" w:type="dxa"/>
            <w:gridSpan w:val="6"/>
            <w:shd w:val="clear" w:color="auto" w:fill="auto"/>
            <w:vAlign w:val="center"/>
          </w:tcPr>
          <w:p w:rsidR="00915A81" w:rsidRDefault="00E14DE7">
            <w:pPr>
              <w:jc w:val="center"/>
            </w:pPr>
            <w:r>
              <w:rPr>
                <w:b/>
                <w:sz w:val="24"/>
                <w:szCs w:val="24"/>
              </w:rPr>
              <w:t>за 1 полугодие 2026 г.</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0425" w:type="dxa"/>
            <w:gridSpan w:val="6"/>
            <w:tcBorders>
              <w:bottom w:val="none" w:sz="5" w:space="0" w:color="auto"/>
            </w:tcBorders>
            <w:shd w:val="clear" w:color="auto" w:fill="auto"/>
            <w:vAlign w:val="center"/>
          </w:tcPr>
          <w:p w:rsidR="00915A81" w:rsidRDefault="00E14DE7">
            <w:pPr>
              <w:wordWrap w:val="0"/>
              <w:jc w:val="center"/>
            </w:pPr>
            <w:r>
              <w:rPr>
                <w:b/>
                <w:sz w:val="18"/>
                <w:szCs w:val="18"/>
              </w:rPr>
              <w:t>Общество с ограниченной ответственностью "НЭКСТ"</w:t>
            </w:r>
          </w:p>
        </w:tc>
      </w:tr>
      <w:tr w:rsidR="00915A81">
        <w:trPr>
          <w:cantSplit/>
        </w:trPr>
        <w:tc>
          <w:tcPr>
            <w:tcW w:w="135" w:type="dxa"/>
            <w:tcBorders>
              <w:bottom w:val="none" w:sz="5" w:space="0" w:color="auto"/>
            </w:tcBorders>
            <w:shd w:val="clear" w:color="auto" w:fill="auto"/>
            <w:vAlign w:val="center"/>
          </w:tcPr>
          <w:p w:rsidR="00915A81" w:rsidRDefault="00915A81">
            <w:pPr>
              <w:wordWrap w:val="0"/>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ООО "НЭКСТ"</w:t>
            </w:r>
          </w:p>
        </w:tc>
      </w:tr>
      <w:tr w:rsidR="00915A81">
        <w:trPr>
          <w:cantSplit/>
        </w:trPr>
        <w:tc>
          <w:tcPr>
            <w:tcW w:w="135" w:type="dxa"/>
            <w:shd w:val="clear" w:color="auto" w:fill="auto"/>
            <w:vAlign w:val="center"/>
          </w:tcPr>
          <w:p w:rsidR="00915A81" w:rsidRDefault="00915A81">
            <w:pPr>
              <w:wordWrap w:val="0"/>
              <w:jc w:val="center"/>
            </w:pPr>
          </w:p>
        </w:tc>
        <w:tc>
          <w:tcPr>
            <w:tcW w:w="10425" w:type="dxa"/>
            <w:gridSpan w:val="6"/>
            <w:shd w:val="clear" w:color="auto" w:fill="auto"/>
            <w:vAlign w:val="center"/>
          </w:tcPr>
          <w:p w:rsidR="00915A81" w:rsidRDefault="00E14DE7">
            <w:pPr>
              <w:jc w:val="center"/>
            </w:pPr>
            <w:r>
              <w:rPr>
                <w:b/>
                <w:sz w:val="18"/>
                <w:szCs w:val="18"/>
              </w:rPr>
              <w:t>(полное и (или) сокращенное фирменные наименования)</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10425" w:type="dxa"/>
            <w:gridSpan w:val="6"/>
            <w:tcBorders>
              <w:bottom w:val="single" w:sz="5" w:space="0" w:color="auto"/>
            </w:tcBorders>
            <w:shd w:val="clear" w:color="auto" w:fill="auto"/>
            <w:vAlign w:val="center"/>
          </w:tcPr>
          <w:p w:rsidR="00915A81" w:rsidRDefault="00E14DE7">
            <w:pPr>
              <w:wordWrap w:val="0"/>
              <w:jc w:val="center"/>
            </w:pPr>
            <w:r>
              <w:rPr>
                <w:b/>
                <w:sz w:val="18"/>
                <w:szCs w:val="18"/>
              </w:rPr>
              <w:t xml:space="preserve">115162, </w:t>
            </w:r>
            <w:proofErr w:type="spellStart"/>
            <w:r>
              <w:rPr>
                <w:b/>
                <w:sz w:val="18"/>
                <w:szCs w:val="18"/>
              </w:rPr>
              <w:t>г</w:t>
            </w:r>
            <w:proofErr w:type="gramStart"/>
            <w:r>
              <w:rPr>
                <w:b/>
                <w:sz w:val="18"/>
                <w:szCs w:val="18"/>
              </w:rPr>
              <w:t>.М</w:t>
            </w:r>
            <w:proofErr w:type="gramEnd"/>
            <w:r>
              <w:rPr>
                <w:b/>
                <w:sz w:val="18"/>
                <w:szCs w:val="18"/>
              </w:rPr>
              <w:t>осква</w:t>
            </w:r>
            <w:proofErr w:type="spellEnd"/>
            <w:r>
              <w:rPr>
                <w:b/>
                <w:sz w:val="18"/>
                <w:szCs w:val="18"/>
              </w:rPr>
              <w:t xml:space="preserve">. </w:t>
            </w:r>
            <w:proofErr w:type="spellStart"/>
            <w:r>
              <w:rPr>
                <w:b/>
                <w:sz w:val="18"/>
                <w:szCs w:val="18"/>
              </w:rPr>
              <w:t>вн.тер.г.Муниципальный</w:t>
            </w:r>
            <w:proofErr w:type="spellEnd"/>
            <w:r>
              <w:rPr>
                <w:b/>
                <w:sz w:val="18"/>
                <w:szCs w:val="18"/>
              </w:rPr>
              <w:t xml:space="preserve"> Округ Донской. </w:t>
            </w:r>
            <w:proofErr w:type="spellStart"/>
            <w:proofErr w:type="gramStart"/>
            <w:r>
              <w:rPr>
                <w:b/>
                <w:sz w:val="18"/>
                <w:szCs w:val="18"/>
              </w:rPr>
              <w:t>Ул</w:t>
            </w:r>
            <w:proofErr w:type="spellEnd"/>
            <w:proofErr w:type="gramEnd"/>
            <w:r>
              <w:rPr>
                <w:b/>
                <w:sz w:val="18"/>
                <w:szCs w:val="18"/>
              </w:rPr>
              <w:t xml:space="preserve"> Шухова. Дом 14. строение 11</w:t>
            </w:r>
          </w:p>
        </w:tc>
      </w:tr>
      <w:tr w:rsidR="00915A81">
        <w:trPr>
          <w:cantSplit/>
        </w:trPr>
        <w:tc>
          <w:tcPr>
            <w:tcW w:w="135" w:type="dxa"/>
            <w:shd w:val="clear" w:color="auto" w:fill="auto"/>
            <w:vAlign w:val="center"/>
          </w:tcPr>
          <w:p w:rsidR="00915A81" w:rsidRDefault="00915A81"/>
        </w:tc>
        <w:tc>
          <w:tcPr>
            <w:tcW w:w="10425" w:type="dxa"/>
            <w:gridSpan w:val="6"/>
            <w:shd w:val="clear" w:color="auto" w:fill="auto"/>
            <w:vAlign w:val="center"/>
          </w:tcPr>
          <w:p w:rsidR="00915A81" w:rsidRDefault="00E14DE7">
            <w:pPr>
              <w:jc w:val="center"/>
            </w:pPr>
            <w:r>
              <w:rPr>
                <w:b/>
                <w:sz w:val="18"/>
                <w:szCs w:val="18"/>
              </w:rPr>
              <w:t>(адрес организации в пределах места нахождения организации)</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55"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tc>
        <w:tc>
          <w:tcPr>
            <w:tcW w:w="2355" w:type="dxa"/>
            <w:shd w:val="clear" w:color="auto" w:fill="auto"/>
            <w:vAlign w:val="center"/>
          </w:tcPr>
          <w:p w:rsidR="00915A81" w:rsidRDefault="00915A81"/>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b/>
                <w:sz w:val="18"/>
                <w:szCs w:val="18"/>
              </w:rPr>
              <w:t>Код формы по ОКУД 0420005</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proofErr w:type="gramStart"/>
            <w:r>
              <w:rPr>
                <w:b/>
                <w:sz w:val="18"/>
                <w:szCs w:val="18"/>
              </w:rPr>
              <w:t>Годовая</w:t>
            </w:r>
            <w:proofErr w:type="gramEnd"/>
            <w:r>
              <w:rPr>
                <w:b/>
                <w:sz w:val="18"/>
                <w:szCs w:val="18"/>
              </w:rPr>
              <w:t xml:space="preserve"> (квартальная, полугодовая, за 9 месяцев)</w:t>
            </w:r>
          </w:p>
        </w:tc>
      </w:tr>
      <w:tr w:rsidR="00915A81">
        <w:trPr>
          <w:cantSplit/>
        </w:trPr>
        <w:tc>
          <w:tcPr>
            <w:tcW w:w="135" w:type="dxa"/>
            <w:shd w:val="clear" w:color="auto" w:fill="auto"/>
            <w:vAlign w:val="center"/>
          </w:tcPr>
          <w:p w:rsidR="00915A81" w:rsidRDefault="00915A81">
            <w:pPr>
              <w:jc w:val="right"/>
            </w:pPr>
          </w:p>
        </w:tc>
        <w:tc>
          <w:tcPr>
            <w:tcW w:w="660" w:type="dxa"/>
            <w:shd w:val="clear" w:color="auto" w:fill="auto"/>
            <w:vAlign w:val="center"/>
          </w:tcPr>
          <w:p w:rsidR="00915A81" w:rsidRDefault="00915A81">
            <w:pPr>
              <w:jc w:val="right"/>
            </w:pPr>
          </w:p>
        </w:tc>
        <w:tc>
          <w:tcPr>
            <w:tcW w:w="360" w:type="dxa"/>
            <w:shd w:val="clear" w:color="auto" w:fill="auto"/>
            <w:vAlign w:val="center"/>
          </w:tcPr>
          <w:p w:rsidR="00915A81" w:rsidRDefault="00915A81">
            <w:pPr>
              <w:jc w:val="right"/>
            </w:pPr>
          </w:p>
        </w:tc>
        <w:tc>
          <w:tcPr>
            <w:tcW w:w="2355" w:type="dxa"/>
            <w:shd w:val="clear" w:color="auto" w:fill="auto"/>
            <w:vAlign w:val="center"/>
          </w:tcPr>
          <w:p w:rsidR="00915A81" w:rsidRDefault="00915A81">
            <w:pPr>
              <w:jc w:val="right"/>
            </w:pPr>
          </w:p>
        </w:tc>
        <w:tc>
          <w:tcPr>
            <w:tcW w:w="2340" w:type="dxa"/>
            <w:shd w:val="clear" w:color="auto" w:fill="auto"/>
            <w:vAlign w:val="center"/>
          </w:tcPr>
          <w:p w:rsidR="00915A81" w:rsidRDefault="00915A81">
            <w:pPr>
              <w:jc w:val="right"/>
            </w:pPr>
          </w:p>
        </w:tc>
        <w:tc>
          <w:tcPr>
            <w:tcW w:w="4710" w:type="dxa"/>
            <w:gridSpan w:val="2"/>
            <w:shd w:val="clear" w:color="auto" w:fill="auto"/>
            <w:vAlign w:val="center"/>
          </w:tcPr>
          <w:p w:rsidR="00915A81" w:rsidRDefault="00E14DE7">
            <w:pPr>
              <w:jc w:val="right"/>
            </w:pPr>
            <w:r>
              <w:rPr>
                <w:sz w:val="18"/>
                <w:szCs w:val="18"/>
              </w:rPr>
              <w:t>тыс. руб.</w:t>
            </w:r>
          </w:p>
        </w:tc>
      </w:tr>
      <w:tr w:rsidR="00915A81">
        <w:trPr>
          <w:cantSplit/>
        </w:trPr>
        <w:tc>
          <w:tcPr>
            <w:tcW w:w="135" w:type="dxa"/>
            <w:shd w:val="clear" w:color="auto" w:fill="auto"/>
            <w:vAlign w:val="center"/>
          </w:tcPr>
          <w:p w:rsidR="00915A81" w:rsidRDefault="00915A81">
            <w:pPr>
              <w:jc w:val="center"/>
            </w:pPr>
          </w:p>
        </w:tc>
        <w:tc>
          <w:tcPr>
            <w:tcW w:w="660" w:type="dxa"/>
            <w:shd w:val="clear" w:color="auto" w:fill="auto"/>
            <w:vAlign w:val="center"/>
          </w:tcPr>
          <w:p w:rsidR="00915A81" w:rsidRDefault="00915A81">
            <w:pPr>
              <w:jc w:val="center"/>
            </w:pPr>
          </w:p>
        </w:tc>
        <w:tc>
          <w:tcPr>
            <w:tcW w:w="36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40"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c>
          <w:tcPr>
            <w:tcW w:w="2355" w:type="dxa"/>
            <w:shd w:val="clear" w:color="auto" w:fill="auto"/>
            <w:vAlign w:val="center"/>
          </w:tcPr>
          <w:p w:rsidR="00915A81" w:rsidRDefault="00915A81">
            <w:pPr>
              <w:jc w:val="center"/>
            </w:pPr>
          </w:p>
        </w:tc>
      </w:tr>
    </w:tbl>
    <w:tbl>
      <w:tblPr>
        <w:tblStyle w:val="TableStyle89"/>
        <w:tblW w:w="10560" w:type="dxa"/>
        <w:tblInd w:w="57" w:type="dxa"/>
        <w:tblLayout w:type="fixed"/>
        <w:tblCellMar>
          <w:left w:w="57" w:type="dxa"/>
          <w:right w:w="57" w:type="dxa"/>
        </w:tblCellMar>
        <w:tblLook w:val="04A0" w:firstRow="1" w:lastRow="0" w:firstColumn="1" w:lastColumn="0" w:noHBand="0" w:noVBand="1"/>
      </w:tblPr>
      <w:tblGrid>
        <w:gridCol w:w="135"/>
        <w:gridCol w:w="735"/>
        <w:gridCol w:w="3510"/>
        <w:gridCol w:w="1260"/>
        <w:gridCol w:w="2460"/>
        <w:gridCol w:w="2460"/>
      </w:tblGrid>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показателя</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Наименование показателя</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примечания</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2026 г.</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2025 г.</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2</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915A81" w:rsidRDefault="00915A81">
            <w:pPr>
              <w:jc w:val="center"/>
            </w:pPr>
          </w:p>
        </w:tc>
        <w:tc>
          <w:tcPr>
            <w:tcW w:w="351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E14DE7">
            <w:pPr>
              <w:ind w:left="105"/>
            </w:pPr>
            <w:r>
              <w:rPr>
                <w:b/>
                <w:sz w:val="18"/>
                <w:szCs w:val="18"/>
              </w:rPr>
              <w:t>Раздел I. Денежные потоки от операционной деятельности</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single" w:sz="5" w:space="0" w:color="auto"/>
            </w:tcBorders>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Денежные поступления от предоставления услуг и полученные комиссии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59 642</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6 211</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Денежные выплаты поставщикам за товары и услуги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(276)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(178)</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Проценты полученные</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10 144</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9 139</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Проценты уплаченные</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(496)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(688)</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Средства, полученные для перечисления клиентам доходов по ценным бумагам, за минусом средств, перечисленных клиентам</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1 506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65 778</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Выплаты работникам и от имени работников, страховые взносы с сумм выплат вознаграждений работникам</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(6 456)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(2 866)</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Оплата прочих административных и операционных расходов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(7 135)</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(5 038)</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8</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Уплаченный налог на прибыль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(17 811)</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(437)</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9</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Прочие денежные потоки от операционной деятельности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(436)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(59)</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10</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Сальдо денежных потоков от операционной деятельности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38 681</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71 860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915A81" w:rsidRDefault="00915A81">
            <w:pPr>
              <w:jc w:val="center"/>
            </w:pPr>
          </w:p>
        </w:tc>
        <w:tc>
          <w:tcPr>
            <w:tcW w:w="351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E14DE7">
            <w:pPr>
              <w:ind w:left="105"/>
            </w:pPr>
            <w:r>
              <w:rPr>
                <w:b/>
                <w:sz w:val="18"/>
                <w:szCs w:val="18"/>
              </w:rPr>
              <w:t>Раздел II. Денежные потоки от инвестиционной деятельности</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single" w:sz="5" w:space="0" w:color="auto"/>
            </w:tcBorders>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11</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Платежи в связи с приобретением, созданием нематериальных активов</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(2 850)</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(3 483)</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Поступления от продажи и погашения финансовых активов, оцениваемых по амортизированной стоимости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3 656 130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13</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Платежи в связи с приобретением финансовых активов, оцениваемых по амортизированной стоимости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(3 551 900)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14</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Сальдо денежных потоков от инвестиционной деятельности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(2 850)</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100 747</w:t>
            </w:r>
          </w:p>
        </w:tc>
      </w:tr>
    </w:tbl>
    <w:p w:rsidR="00915A81" w:rsidRDefault="00E14DE7">
      <w:r>
        <w:br w:type="page"/>
      </w:r>
    </w:p>
    <w:tbl>
      <w:tblPr>
        <w:tblStyle w:val="TableStyle89"/>
        <w:tblW w:w="10560" w:type="dxa"/>
        <w:tblInd w:w="57" w:type="dxa"/>
        <w:tblLayout w:type="fixed"/>
        <w:tblCellMar>
          <w:left w:w="57" w:type="dxa"/>
          <w:right w:w="57" w:type="dxa"/>
        </w:tblCellMar>
        <w:tblLook w:val="04A0" w:firstRow="1" w:lastRow="0" w:firstColumn="1" w:lastColumn="0" w:noHBand="0" w:noVBand="1"/>
      </w:tblPr>
      <w:tblGrid>
        <w:gridCol w:w="135"/>
        <w:gridCol w:w="735"/>
        <w:gridCol w:w="3510"/>
        <w:gridCol w:w="1260"/>
        <w:gridCol w:w="2460"/>
        <w:gridCol w:w="2460"/>
      </w:tblGrid>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показателя</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Наименование показателя</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Номер примечания</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2026 г.</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За 1 полугодие 2025 г.</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1</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2</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3</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4</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b/>
                <w:sz w:val="18"/>
                <w:szCs w:val="18"/>
              </w:rPr>
              <w:t>5</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915A81" w:rsidRDefault="00915A81">
            <w:pPr>
              <w:jc w:val="center"/>
            </w:pPr>
          </w:p>
        </w:tc>
        <w:tc>
          <w:tcPr>
            <w:tcW w:w="351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E14DE7">
            <w:pPr>
              <w:ind w:left="105"/>
            </w:pPr>
            <w:r>
              <w:rPr>
                <w:b/>
                <w:sz w:val="18"/>
                <w:szCs w:val="18"/>
              </w:rPr>
              <w:t>Раздел III. Денежные потоки от финансовой деятельности</w:t>
            </w:r>
          </w:p>
        </w:tc>
        <w:tc>
          <w:tcPr>
            <w:tcW w:w="12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none" w:sz="5" w:space="0" w:color="auto"/>
            </w:tcBorders>
            <w:shd w:val="clear" w:color="auto" w:fill="auto"/>
            <w:vAlign w:val="center"/>
          </w:tcPr>
          <w:p w:rsidR="00915A81" w:rsidRDefault="00915A81">
            <w:pPr>
              <w:jc w:val="center"/>
            </w:pPr>
          </w:p>
        </w:tc>
        <w:tc>
          <w:tcPr>
            <w:tcW w:w="2460" w:type="dxa"/>
            <w:tcBorders>
              <w:top w:val="single" w:sz="5" w:space="0" w:color="auto"/>
              <w:left w:val="none" w:sz="5" w:space="0" w:color="auto"/>
              <w:bottom w:val="single" w:sz="5" w:space="0" w:color="auto"/>
              <w:right w:val="single" w:sz="5" w:space="0" w:color="auto"/>
            </w:tcBorders>
            <w:shd w:val="clear" w:color="auto" w:fill="auto"/>
            <w:vAlign w:val="center"/>
          </w:tcPr>
          <w:p w:rsidR="00915A81" w:rsidRDefault="00915A81">
            <w:pPr>
              <w:jc w:val="center"/>
            </w:pP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15</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b/>
                <w:sz w:val="18"/>
                <w:szCs w:val="18"/>
              </w:rPr>
              <w:t>Погашение кредитов, займов и прочих привлеченных средств, оцениваемых по амортизированной стоимости, в том числе:</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(1 046)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(1 400)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16</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210"/>
            </w:pPr>
            <w:r>
              <w:rPr>
                <w:sz w:val="18"/>
                <w:szCs w:val="18"/>
              </w:rPr>
              <w:t>платежи в погашение обязательств по договорам аренды</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(1 046)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(1 400)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Выплаченные дивиденды (распределенная прибыль)</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(28 281)</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18</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Сальдо денежных потоков от финансовой деятельности</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(29 328)</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(1 400)</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19</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Сальдо денежных потоков за отчетный период</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6 503</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171 206</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20</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Величина влияния изменений курса иностранной валюты по отношению к рублю</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915A81">
            <w:pPr>
              <w:wordWrap w:val="0"/>
              <w:jc w:val="center"/>
            </w:pP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(76)</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21</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Остаток денежных средств и их эквивалентов на начало периода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wordWrap w:val="0"/>
              <w:jc w:val="center"/>
            </w:pPr>
            <w:r>
              <w:rPr>
                <w:sz w:val="18"/>
                <w:szCs w:val="18"/>
              </w:rPr>
              <w:t>5</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124 045</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w:t>
            </w:r>
          </w:p>
        </w:tc>
      </w:tr>
      <w:tr w:rsidR="00915A81">
        <w:trPr>
          <w:cantSplit/>
        </w:trPr>
        <w:tc>
          <w:tcPr>
            <w:tcW w:w="135" w:type="dxa"/>
            <w:shd w:val="clear" w:color="auto" w:fill="auto"/>
            <w:vAlign w:val="center"/>
          </w:tcPr>
          <w:p w:rsidR="00915A81" w:rsidRDefault="00915A81">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22</w:t>
            </w:r>
          </w:p>
        </w:tc>
        <w:tc>
          <w:tcPr>
            <w:tcW w:w="351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ind w:left="105"/>
            </w:pPr>
            <w:r>
              <w:rPr>
                <w:sz w:val="18"/>
                <w:szCs w:val="18"/>
              </w:rPr>
              <w:t>Остаток денежных средств и их эквивалентов на конец периода</w:t>
            </w:r>
          </w:p>
        </w:tc>
        <w:tc>
          <w:tcPr>
            <w:tcW w:w="12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wordWrap w:val="0"/>
              <w:jc w:val="center"/>
            </w:pPr>
            <w:r>
              <w:rPr>
                <w:sz w:val="18"/>
                <w:szCs w:val="18"/>
              </w:rPr>
              <w:t>5</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130 473</w:t>
            </w:r>
          </w:p>
        </w:tc>
        <w:tc>
          <w:tcPr>
            <w:tcW w:w="2460" w:type="dxa"/>
            <w:tcBorders>
              <w:top w:val="single" w:sz="5" w:space="0" w:color="auto"/>
              <w:left w:val="single" w:sz="5" w:space="0" w:color="auto"/>
              <w:bottom w:val="single" w:sz="5" w:space="0" w:color="auto"/>
              <w:right w:val="single" w:sz="5" w:space="0" w:color="auto"/>
            </w:tcBorders>
            <w:shd w:val="clear" w:color="auto" w:fill="auto"/>
            <w:vAlign w:val="center"/>
          </w:tcPr>
          <w:p w:rsidR="00915A81" w:rsidRDefault="00E14DE7">
            <w:pPr>
              <w:jc w:val="center"/>
            </w:pPr>
            <w:r>
              <w:rPr>
                <w:sz w:val="18"/>
                <w:szCs w:val="18"/>
              </w:rPr>
              <w:t>171 208</w:t>
            </w:r>
          </w:p>
        </w:tc>
      </w:tr>
    </w:tbl>
    <w:tbl>
      <w:tblPr>
        <w:tblStyle w:val="TableStyle90"/>
        <w:tblW w:w="10560" w:type="dxa"/>
        <w:tblInd w:w="57" w:type="dxa"/>
        <w:tblLayout w:type="fixed"/>
        <w:tblCellMar>
          <w:left w:w="57" w:type="dxa"/>
          <w:right w:w="57" w:type="dxa"/>
        </w:tblCellMar>
        <w:tblLook w:val="04A0" w:firstRow="1" w:lastRow="0" w:firstColumn="1" w:lastColumn="0" w:noHBand="0" w:noVBand="1"/>
      </w:tblPr>
      <w:tblGrid>
        <w:gridCol w:w="135"/>
        <w:gridCol w:w="2235"/>
        <w:gridCol w:w="210"/>
        <w:gridCol w:w="2520"/>
        <w:gridCol w:w="210"/>
        <w:gridCol w:w="2520"/>
        <w:gridCol w:w="210"/>
        <w:gridCol w:w="2520"/>
      </w:tblGrid>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non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Заместитель генерального директора</w:t>
            </w: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tcBorders>
              <w:bottom w:val="single" w:sz="5" w:space="0" w:color="auto"/>
            </w:tcBorders>
            <w:shd w:val="clear" w:color="auto" w:fill="auto"/>
            <w:vAlign w:val="center"/>
          </w:tcPr>
          <w:p w:rsidR="00915A81" w:rsidRDefault="00915A81">
            <w:pPr>
              <w:jc w:val="center"/>
            </w:pPr>
          </w:p>
        </w:tc>
        <w:tc>
          <w:tcPr>
            <w:tcW w:w="210" w:type="dxa"/>
            <w:shd w:val="clear" w:color="auto" w:fill="auto"/>
            <w:vAlign w:val="center"/>
          </w:tcPr>
          <w:p w:rsidR="00915A81" w:rsidRDefault="00915A81">
            <w:pPr>
              <w:jc w:val="center"/>
            </w:pPr>
          </w:p>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top w:val="single" w:sz="5" w:space="0" w:color="auto"/>
            </w:tcBorders>
            <w:shd w:val="clear" w:color="auto" w:fill="auto"/>
          </w:tcPr>
          <w:p w:rsidR="00915A81" w:rsidRDefault="00E14DE7">
            <w:pPr>
              <w:jc w:val="center"/>
            </w:pPr>
            <w:r>
              <w:rPr>
                <w:sz w:val="18"/>
                <w:szCs w:val="18"/>
              </w:rPr>
              <w:t>(должность)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tcPr>
          <w:p w:rsidR="00915A81" w:rsidRDefault="00E14DE7">
            <w:pPr>
              <w:jc w:val="center"/>
            </w:pPr>
            <w:r>
              <w:rPr>
                <w:sz w:val="18"/>
                <w:szCs w:val="18"/>
              </w:rPr>
              <w:t>(подпись)</w:t>
            </w:r>
          </w:p>
        </w:tc>
        <w:tc>
          <w:tcPr>
            <w:tcW w:w="210" w:type="dxa"/>
            <w:shd w:val="clear" w:color="auto" w:fill="auto"/>
            <w:vAlign w:val="center"/>
          </w:tcPr>
          <w:p w:rsidR="00915A81" w:rsidRDefault="00915A81"/>
        </w:tc>
        <w:tc>
          <w:tcPr>
            <w:tcW w:w="2520" w:type="dxa"/>
            <w:tcBorders>
              <w:top w:val="single" w:sz="5" w:space="0" w:color="auto"/>
            </w:tcBorders>
            <w:shd w:val="clear" w:color="auto" w:fill="auto"/>
            <w:vAlign w:val="center"/>
          </w:tcPr>
          <w:p w:rsidR="00915A81" w:rsidRDefault="00E14DE7">
            <w:pPr>
              <w:jc w:val="center"/>
            </w:pPr>
            <w:r>
              <w:rPr>
                <w:sz w:val="18"/>
                <w:szCs w:val="18"/>
              </w:rPr>
              <w:t>Фамилия, имя, отчество (последнее – при наличии)</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r w:rsidR="00915A81">
        <w:trPr>
          <w:cantSplit/>
        </w:trPr>
        <w:tc>
          <w:tcPr>
            <w:tcW w:w="135" w:type="dxa"/>
            <w:shd w:val="clear" w:color="auto" w:fill="auto"/>
            <w:vAlign w:val="center"/>
          </w:tcPr>
          <w:p w:rsidR="00915A81" w:rsidRDefault="00915A81"/>
        </w:tc>
        <w:tc>
          <w:tcPr>
            <w:tcW w:w="2235" w:type="dxa"/>
            <w:tcBorders>
              <w:bottom w:val="single" w:sz="5" w:space="0" w:color="auto"/>
            </w:tcBorders>
            <w:shd w:val="clear" w:color="auto" w:fill="auto"/>
            <w:vAlign w:val="center"/>
          </w:tcPr>
          <w:p w:rsidR="00915A81" w:rsidRDefault="00E14DE7">
            <w:pPr>
              <w:jc w:val="center"/>
            </w:pPr>
            <w:r>
              <w:rPr>
                <w:sz w:val="18"/>
                <w:szCs w:val="18"/>
              </w:rPr>
              <w:t>28.07.2026</w:t>
            </w:r>
          </w:p>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c>
          <w:tcPr>
            <w:tcW w:w="210" w:type="dxa"/>
            <w:shd w:val="clear" w:color="auto" w:fill="auto"/>
            <w:vAlign w:val="center"/>
          </w:tcPr>
          <w:p w:rsidR="00915A81" w:rsidRDefault="00915A81"/>
        </w:tc>
        <w:tc>
          <w:tcPr>
            <w:tcW w:w="2520" w:type="dxa"/>
            <w:shd w:val="clear" w:color="auto" w:fill="auto"/>
            <w:vAlign w:val="center"/>
          </w:tcPr>
          <w:p w:rsidR="00915A81" w:rsidRDefault="00915A81"/>
        </w:tc>
      </w:tr>
    </w:tbl>
    <w:p w:rsidR="00915A81" w:rsidRDefault="00915A81">
      <w:pPr>
        <w:sectPr w:rsidR="00915A81">
          <w:pgSz w:w="11907" w:h="16839"/>
          <w:pgMar w:top="567" w:right="567" w:bottom="567" w:left="567" w:header="720" w:footer="720" w:gutter="0"/>
          <w:cols w:space="720"/>
        </w:sectPr>
      </w:pPr>
    </w:p>
    <w:tbl>
      <w:tblPr>
        <w:tblStyle w:val="TableStyle91"/>
        <w:tblW w:w="10560" w:type="dxa"/>
        <w:tblInd w:w="57" w:type="dxa"/>
        <w:tblLayout w:type="fixed"/>
        <w:tblCellMar>
          <w:left w:w="57" w:type="dxa"/>
          <w:right w:w="57" w:type="dxa"/>
        </w:tblCellMar>
        <w:tblLook w:val="04A0" w:firstRow="1" w:lastRow="0" w:firstColumn="1" w:lastColumn="0" w:noHBand="0" w:noVBand="1"/>
      </w:tblPr>
      <w:tblGrid>
        <w:gridCol w:w="135"/>
        <w:gridCol w:w="3180"/>
        <w:gridCol w:w="435"/>
        <w:gridCol w:w="3180"/>
        <w:gridCol w:w="450"/>
        <w:gridCol w:w="3180"/>
      </w:tblGrid>
      <w:tr w:rsidR="00915A81">
        <w:trPr>
          <w:cantSplit/>
        </w:trPr>
        <w:tc>
          <w:tcPr>
            <w:tcW w:w="135" w:type="dxa"/>
            <w:shd w:val="clear" w:color="auto" w:fill="auto"/>
            <w:vAlign w:val="bottom"/>
          </w:tcPr>
          <w:p w:rsidR="00915A81" w:rsidRDefault="00915A81"/>
        </w:tc>
        <w:tc>
          <w:tcPr>
            <w:tcW w:w="3180" w:type="dxa"/>
            <w:tcBorders>
              <w:bottom w:val="none" w:sz="5" w:space="0" w:color="auto"/>
            </w:tcBorders>
            <w:shd w:val="clear" w:color="auto" w:fill="auto"/>
            <w:vAlign w:val="center"/>
          </w:tcPr>
          <w:p w:rsidR="00915A81" w:rsidRDefault="00915A81">
            <w:pPr>
              <w:jc w:val="center"/>
            </w:pPr>
          </w:p>
        </w:tc>
        <w:tc>
          <w:tcPr>
            <w:tcW w:w="435" w:type="dxa"/>
            <w:shd w:val="clear" w:color="auto" w:fill="auto"/>
            <w:vAlign w:val="center"/>
          </w:tcPr>
          <w:p w:rsidR="00915A81" w:rsidRDefault="00915A81">
            <w:pPr>
              <w:jc w:val="center"/>
            </w:pPr>
          </w:p>
        </w:tc>
        <w:tc>
          <w:tcPr>
            <w:tcW w:w="3180" w:type="dxa"/>
            <w:shd w:val="clear" w:color="auto" w:fill="auto"/>
            <w:vAlign w:val="center"/>
          </w:tcPr>
          <w:p w:rsidR="00915A81" w:rsidRDefault="00915A81">
            <w:pPr>
              <w:jc w:val="center"/>
            </w:pPr>
          </w:p>
        </w:tc>
        <w:tc>
          <w:tcPr>
            <w:tcW w:w="450" w:type="dxa"/>
            <w:shd w:val="clear" w:color="auto" w:fill="auto"/>
            <w:vAlign w:val="center"/>
          </w:tcPr>
          <w:p w:rsidR="00915A81" w:rsidRDefault="00915A81">
            <w:pPr>
              <w:jc w:val="center"/>
            </w:pPr>
          </w:p>
        </w:tc>
        <w:tc>
          <w:tcPr>
            <w:tcW w:w="3180" w:type="dxa"/>
            <w:shd w:val="clear" w:color="auto" w:fill="auto"/>
            <w:vAlign w:val="center"/>
          </w:tcPr>
          <w:p w:rsidR="00915A81" w:rsidRDefault="00915A81">
            <w:pPr>
              <w:jc w:val="center"/>
            </w:pPr>
          </w:p>
        </w:tc>
      </w:tr>
    </w:tbl>
    <w:tbl>
      <w:tblPr>
        <w:tblStyle w:val="TableStyle0"/>
        <w:tblW w:w="10560" w:type="dxa"/>
        <w:tblInd w:w="57" w:type="dxa"/>
        <w:tblLayout w:type="fixed"/>
        <w:tblCellMar>
          <w:left w:w="57" w:type="dxa"/>
          <w:right w:w="57" w:type="dxa"/>
        </w:tblCellMar>
        <w:tblLook w:val="04A0" w:firstRow="1" w:lastRow="0" w:firstColumn="1" w:lastColumn="0" w:noHBand="0" w:noVBand="1"/>
      </w:tblPr>
      <w:tblGrid>
        <w:gridCol w:w="135"/>
        <w:gridCol w:w="735"/>
        <w:gridCol w:w="2280"/>
        <w:gridCol w:w="7410"/>
      </w:tblGrid>
      <w:tr w:rsidR="00E14DE7" w:rsidTr="00E14DE7">
        <w:trPr>
          <w:cantSplit/>
        </w:trPr>
        <w:tc>
          <w:tcPr>
            <w:tcW w:w="135" w:type="dxa"/>
            <w:shd w:val="clear" w:color="auto" w:fill="auto"/>
            <w:vAlign w:val="center"/>
          </w:tcPr>
          <w:p w:rsidR="00E14DE7" w:rsidRDefault="00E14DE7" w:rsidP="00E14DE7">
            <w:pPr>
              <w:ind w:left="105"/>
            </w:pPr>
          </w:p>
        </w:tc>
        <w:tc>
          <w:tcPr>
            <w:tcW w:w="10425" w:type="dxa"/>
            <w:gridSpan w:val="3"/>
            <w:shd w:val="clear" w:color="auto" w:fill="auto"/>
            <w:vAlign w:val="center"/>
          </w:tcPr>
          <w:p w:rsidR="00E14DE7" w:rsidRDefault="00E14DE7" w:rsidP="00E14DE7">
            <w:pPr>
              <w:ind w:left="105"/>
            </w:pPr>
            <w:r>
              <w:rPr>
                <w:b/>
                <w:sz w:val="24"/>
                <w:szCs w:val="24"/>
              </w:rPr>
              <w:t>Примечание 1. Основная деятельность организации</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ind w:left="105"/>
            </w:pPr>
          </w:p>
        </w:tc>
        <w:tc>
          <w:tcPr>
            <w:tcW w:w="2280" w:type="dxa"/>
            <w:shd w:val="clear" w:color="auto" w:fill="auto"/>
            <w:vAlign w:val="center"/>
          </w:tcPr>
          <w:p w:rsidR="00E14DE7" w:rsidRDefault="00E14DE7" w:rsidP="00E14DE7">
            <w:pPr>
              <w:ind w:left="105"/>
            </w:pPr>
          </w:p>
        </w:tc>
        <w:tc>
          <w:tcPr>
            <w:tcW w:w="7410"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gridSpan w:val="3"/>
            <w:shd w:val="clear" w:color="auto" w:fill="auto"/>
            <w:vAlign w:val="center"/>
          </w:tcPr>
          <w:p w:rsidR="00E14DE7" w:rsidRDefault="00E14DE7" w:rsidP="00E14DE7">
            <w:pPr>
              <w:jc w:val="center"/>
            </w:pPr>
            <w:r>
              <w:rPr>
                <w:b/>
                <w:sz w:val="22"/>
              </w:rPr>
              <w:t>Основная деятельность организации</w:t>
            </w:r>
          </w:p>
        </w:tc>
      </w:tr>
      <w:tr w:rsidR="00E14DE7" w:rsidTr="00E14DE7">
        <w:trPr>
          <w:cantSplit/>
        </w:trPr>
        <w:tc>
          <w:tcPr>
            <w:tcW w:w="135" w:type="dxa"/>
            <w:shd w:val="clear" w:color="auto" w:fill="auto"/>
            <w:vAlign w:val="center"/>
          </w:tcPr>
          <w:p w:rsidR="00E14DE7" w:rsidRDefault="00E14DE7" w:rsidP="00E14DE7">
            <w:pPr>
              <w:jc w:val="right"/>
            </w:pPr>
          </w:p>
        </w:tc>
        <w:tc>
          <w:tcPr>
            <w:tcW w:w="735" w:type="dxa"/>
            <w:shd w:val="clear" w:color="auto" w:fill="auto"/>
            <w:vAlign w:val="center"/>
          </w:tcPr>
          <w:p w:rsidR="00E14DE7" w:rsidRDefault="00E14DE7" w:rsidP="00E14DE7">
            <w:pPr>
              <w:jc w:val="right"/>
            </w:pPr>
          </w:p>
        </w:tc>
        <w:tc>
          <w:tcPr>
            <w:tcW w:w="2280" w:type="dxa"/>
            <w:shd w:val="clear" w:color="auto" w:fill="auto"/>
            <w:vAlign w:val="center"/>
          </w:tcPr>
          <w:p w:rsidR="00E14DE7" w:rsidRDefault="00E14DE7" w:rsidP="00E14DE7">
            <w:pPr>
              <w:ind w:left="105"/>
            </w:pPr>
          </w:p>
        </w:tc>
        <w:tc>
          <w:tcPr>
            <w:tcW w:w="7410"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right"/>
            </w:pPr>
          </w:p>
        </w:tc>
        <w:tc>
          <w:tcPr>
            <w:tcW w:w="10425" w:type="dxa"/>
            <w:gridSpan w:val="3"/>
            <w:shd w:val="clear" w:color="auto" w:fill="auto"/>
            <w:vAlign w:val="center"/>
          </w:tcPr>
          <w:p w:rsidR="00E14DE7" w:rsidRDefault="00E14DE7" w:rsidP="00E14DE7">
            <w:pPr>
              <w:jc w:val="right"/>
            </w:pPr>
            <w:r>
              <w:rPr>
                <w:b/>
                <w:sz w:val="20"/>
                <w:szCs w:val="20"/>
              </w:rPr>
              <w:t>Таблица 1.1</w:t>
            </w:r>
          </w:p>
        </w:tc>
      </w:tr>
    </w:tbl>
    <w:tbl>
      <w:tblPr>
        <w:tblStyle w:val="TableStyle1"/>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Текстовое пояснение</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Номер лицензии, дата выдачи лицензии (номер в реестре, дата включения в реестр)</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045-14245-000100 от 22.11.2024, 22-000-0-00130 от 26.11.2024</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Деятельность, осуществляемая организацией</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Депозитарная деятельность, Деятельность  специализированного депозитария инвестиционных фондов, паевых инвестиционных фондов и негосударственных пенсионных фондов</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Организационно-правовая форма организации</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Общество с ограниченной ответственностью</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Место нахождения организации</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115162, г. Москва, </w:t>
            </w:r>
            <w:proofErr w:type="spellStart"/>
            <w:r>
              <w:rPr>
                <w:sz w:val="18"/>
                <w:szCs w:val="18"/>
              </w:rPr>
              <w:t>вн</w:t>
            </w:r>
            <w:proofErr w:type="gramStart"/>
            <w:r>
              <w:rPr>
                <w:sz w:val="18"/>
                <w:szCs w:val="18"/>
              </w:rPr>
              <w:t>.т</w:t>
            </w:r>
            <w:proofErr w:type="gramEnd"/>
            <w:r>
              <w:rPr>
                <w:sz w:val="18"/>
                <w:szCs w:val="18"/>
              </w:rPr>
              <w:t>ер.г</w:t>
            </w:r>
            <w:proofErr w:type="spellEnd"/>
            <w:r>
              <w:rPr>
                <w:sz w:val="18"/>
                <w:szCs w:val="18"/>
              </w:rPr>
              <w:t>.</w:t>
            </w:r>
          </w:p>
          <w:p w:rsidR="00E14DE7" w:rsidRDefault="00E14DE7" w:rsidP="00E14DE7">
            <w:pPr>
              <w:ind w:left="105"/>
            </w:pPr>
            <w:r>
              <w:rPr>
                <w:sz w:val="18"/>
                <w:szCs w:val="18"/>
              </w:rPr>
              <w:t>муниципальный округ Донской,</w:t>
            </w:r>
          </w:p>
          <w:p w:rsidR="00E14DE7" w:rsidRDefault="00E14DE7" w:rsidP="00E14DE7">
            <w:pPr>
              <w:ind w:left="105"/>
            </w:pPr>
            <w:r>
              <w:rPr>
                <w:sz w:val="18"/>
                <w:szCs w:val="18"/>
              </w:rPr>
              <w:t>ул. Шухова, д. 14, стр. 11</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Наименование и место нахождения материнской организации. Информация о </w:t>
            </w:r>
            <w:proofErr w:type="spellStart"/>
            <w:r>
              <w:rPr>
                <w:sz w:val="18"/>
                <w:szCs w:val="18"/>
              </w:rPr>
              <w:t>бенефициарном</w:t>
            </w:r>
            <w:proofErr w:type="spellEnd"/>
            <w:r>
              <w:rPr>
                <w:sz w:val="18"/>
                <w:szCs w:val="18"/>
              </w:rPr>
              <w:t xml:space="preserve"> владельце организации</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Количество и места нахождения филиалов организации, открытых на территории Российской Федерации и на территории иностранных государств</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Филиалы на территории РФ и на территории иностранных государств отсутствуют</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Фактическая численность работников организации на начало и конец отчетного периода</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По состоянию на 30.06.2026 - 33 (на 31.12.2025 - 27)</w:t>
            </w:r>
          </w:p>
        </w:tc>
      </w:tr>
    </w:tbl>
    <w:tbl>
      <w:tblPr>
        <w:tblStyle w:val="TableStyle2"/>
        <w:tblW w:w="10560" w:type="dxa"/>
        <w:tblInd w:w="57" w:type="dxa"/>
        <w:tblLayout w:type="fixed"/>
        <w:tblCellMar>
          <w:left w:w="57" w:type="dxa"/>
          <w:right w:w="57" w:type="dxa"/>
        </w:tblCellMar>
        <w:tblLook w:val="04A0" w:firstRow="1" w:lastRow="0" w:firstColumn="1" w:lastColumn="0" w:noHBand="0" w:noVBand="1"/>
      </w:tblPr>
      <w:tblGrid>
        <w:gridCol w:w="135"/>
        <w:gridCol w:w="735"/>
        <w:gridCol w:w="2280"/>
        <w:gridCol w:w="7410"/>
      </w:tblGrid>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tcBorders>
            <w:shd w:val="clear" w:color="auto" w:fill="auto"/>
            <w:vAlign w:val="center"/>
          </w:tcPr>
          <w:p w:rsidR="00E14DE7" w:rsidRDefault="00E14DE7" w:rsidP="00E14DE7">
            <w:pPr>
              <w:ind w:left="105"/>
            </w:pPr>
          </w:p>
        </w:tc>
        <w:tc>
          <w:tcPr>
            <w:tcW w:w="2280" w:type="dxa"/>
            <w:shd w:val="clear" w:color="auto" w:fill="auto"/>
            <w:vAlign w:val="center"/>
          </w:tcPr>
          <w:p w:rsidR="00E14DE7" w:rsidRDefault="00E14DE7" w:rsidP="00E14DE7">
            <w:pPr>
              <w:ind w:left="105"/>
            </w:pPr>
          </w:p>
        </w:tc>
        <w:tc>
          <w:tcPr>
            <w:tcW w:w="7410"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gridSpan w:val="3"/>
            <w:shd w:val="clear" w:color="auto" w:fill="auto"/>
            <w:vAlign w:val="center"/>
          </w:tcPr>
          <w:p w:rsidR="00E14DE7" w:rsidRDefault="00E14DE7" w:rsidP="00E14DE7">
            <w:pPr>
              <w:ind w:left="105"/>
            </w:pPr>
          </w:p>
        </w:tc>
      </w:tr>
    </w:tbl>
    <w:p w:rsidR="00E14DE7" w:rsidRDefault="00E14DE7" w:rsidP="00E14DE7">
      <w:pPr>
        <w:sectPr w:rsidR="00E14DE7">
          <w:pgSz w:w="11907" w:h="16839"/>
          <w:pgMar w:top="567" w:right="567" w:bottom="567" w:left="567" w:header="720" w:footer="720" w:gutter="0"/>
          <w:cols w:space="720"/>
        </w:sectPr>
      </w:pPr>
    </w:p>
    <w:tbl>
      <w:tblPr>
        <w:tblStyle w:val="TableStyle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ind w:left="105"/>
            </w:pPr>
          </w:p>
        </w:tc>
        <w:tc>
          <w:tcPr>
            <w:tcW w:w="10425" w:type="dxa"/>
            <w:gridSpan w:val="3"/>
            <w:shd w:val="clear" w:color="auto" w:fill="auto"/>
            <w:vAlign w:val="center"/>
          </w:tcPr>
          <w:p w:rsidR="00E14DE7" w:rsidRDefault="00E14DE7" w:rsidP="00E14DE7">
            <w:pPr>
              <w:ind w:left="105"/>
            </w:pPr>
            <w:r>
              <w:rPr>
                <w:b/>
                <w:sz w:val="24"/>
                <w:szCs w:val="24"/>
              </w:rPr>
              <w:t>Примечание 2. Экономическая среда, в которой организация осуществляет свою деятельность</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ind w:left="105"/>
            </w:pPr>
          </w:p>
        </w:tc>
        <w:tc>
          <w:tcPr>
            <w:tcW w:w="4305" w:type="dxa"/>
            <w:shd w:val="clear" w:color="auto" w:fill="auto"/>
            <w:vAlign w:val="center"/>
          </w:tcPr>
          <w:p w:rsidR="00E14DE7" w:rsidRDefault="00E14DE7" w:rsidP="00E14DE7">
            <w:pPr>
              <w:ind w:left="105"/>
            </w:pPr>
          </w:p>
        </w:tc>
        <w:tc>
          <w:tcPr>
            <w:tcW w:w="538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gridSpan w:val="3"/>
            <w:shd w:val="clear" w:color="auto" w:fill="auto"/>
            <w:vAlign w:val="center"/>
          </w:tcPr>
          <w:p w:rsidR="00E14DE7" w:rsidRDefault="00E14DE7" w:rsidP="00E14DE7">
            <w:pPr>
              <w:jc w:val="center"/>
            </w:pPr>
            <w:r>
              <w:rPr>
                <w:b/>
                <w:sz w:val="22"/>
              </w:rPr>
              <w:t>Экономическая среда, в которой организация осуществляет свою деятельность</w:t>
            </w:r>
          </w:p>
        </w:tc>
      </w:tr>
      <w:tr w:rsidR="00E14DE7" w:rsidTr="00E14DE7">
        <w:trPr>
          <w:cantSplit/>
        </w:trPr>
        <w:tc>
          <w:tcPr>
            <w:tcW w:w="135" w:type="dxa"/>
            <w:shd w:val="clear" w:color="auto" w:fill="auto"/>
            <w:vAlign w:val="center"/>
          </w:tcPr>
          <w:p w:rsidR="00E14DE7" w:rsidRDefault="00E14DE7" w:rsidP="00E14DE7">
            <w:pPr>
              <w:jc w:val="right"/>
            </w:pPr>
          </w:p>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pPr>
              <w:ind w:left="105"/>
            </w:pPr>
          </w:p>
        </w:tc>
        <w:tc>
          <w:tcPr>
            <w:tcW w:w="538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right"/>
            </w:pPr>
          </w:p>
        </w:tc>
        <w:tc>
          <w:tcPr>
            <w:tcW w:w="10425" w:type="dxa"/>
            <w:gridSpan w:val="3"/>
            <w:shd w:val="clear" w:color="auto" w:fill="auto"/>
            <w:vAlign w:val="center"/>
          </w:tcPr>
          <w:p w:rsidR="00E14DE7" w:rsidRDefault="00E14DE7" w:rsidP="00E14DE7">
            <w:pPr>
              <w:jc w:val="right"/>
            </w:pPr>
            <w:r>
              <w:rPr>
                <w:b/>
                <w:sz w:val="20"/>
                <w:szCs w:val="20"/>
              </w:rPr>
              <w:t>Таблица 2.1</w:t>
            </w:r>
          </w:p>
        </w:tc>
      </w:tr>
    </w:tbl>
    <w:tbl>
      <w:tblPr>
        <w:tblStyle w:val="TableStyle4"/>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Текстовое пояснение</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Основные факторы и влияния, определяющие финансовые результаты</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Общество осуществляет свою деятельность на территории Российской Федерации. На деятельность Общества оказывают влияние экономика и финансовые рынки Российской Федерации, которым присущи особенности развивающегося рынка. Правовая, налоговая и финансовая системы продолжают </w:t>
            </w:r>
            <w:proofErr w:type="gramStart"/>
            <w:r>
              <w:rPr>
                <w:sz w:val="18"/>
                <w:szCs w:val="18"/>
              </w:rPr>
              <w:t>развиваться и подвержены</w:t>
            </w:r>
            <w:proofErr w:type="gramEnd"/>
            <w:r>
              <w:rPr>
                <w:sz w:val="18"/>
                <w:szCs w:val="18"/>
              </w:rPr>
              <w:t xml:space="preserve"> частым изменениям, кроме того, существует проблема различного толкования норм права со стороны, как органов государственной власти, так и участниками правовых отношений.</w:t>
            </w:r>
          </w:p>
          <w:p w:rsidR="00E14DE7" w:rsidRDefault="00E14DE7" w:rsidP="00E14DE7">
            <w:pPr>
              <w:ind w:left="105"/>
            </w:pPr>
            <w:r>
              <w:rPr>
                <w:sz w:val="18"/>
                <w:szCs w:val="18"/>
              </w:rPr>
              <w:t>Экономика страны особенно чувствительна к изменениям цен на нефть и газ.</w:t>
            </w:r>
          </w:p>
          <w:p w:rsidR="00E14DE7" w:rsidRDefault="00E14DE7" w:rsidP="00E14DE7">
            <w:pPr>
              <w:ind w:left="105"/>
            </w:pPr>
            <w:r>
              <w:rPr>
                <w:sz w:val="18"/>
                <w:szCs w:val="18"/>
              </w:rPr>
              <w:t>В 1 полугодии 2026 года сохраняется значительная геополитическая напряженность, продолжающаяся с февраля 2022 года в результате дальнейшего развития ситуации, связанной с Украиной. Были введены и продолжают вводиться санкции и ограничения в отношении множества российских организаций, включая прекращение доступа к рынкам евро и долларов США, международной системе SWIFT и многие другие. Ряд транснациональных групп приостановили или прекратили свою деловую активность в Российской Федерации. Странами ЕС и рядом стран за пределами ЕС ранее были введены ограничения на предельный уровень цен на поставки российской нефти и российского газа, эмбарго на морские поставки российской нефти и нефтепродуктов. Финансовые и товарные рынки продолжают демонстрировать нестабильность.</w:t>
            </w:r>
          </w:p>
          <w:p w:rsidR="00E14DE7" w:rsidRDefault="00E14DE7" w:rsidP="00E14DE7">
            <w:pPr>
              <w:ind w:left="105"/>
            </w:pPr>
            <w:r>
              <w:rPr>
                <w:sz w:val="18"/>
                <w:szCs w:val="18"/>
              </w:rPr>
              <w:t>ВВП за май 2026 года вырос на 0,3%, а по итогам пяти месяцев 2026 года увеличился на 0,2%.</w:t>
            </w:r>
          </w:p>
          <w:p w:rsidR="00E14DE7" w:rsidRDefault="00E14DE7" w:rsidP="00E14DE7">
            <w:pPr>
              <w:ind w:left="105"/>
            </w:pPr>
            <w:r>
              <w:rPr>
                <w:sz w:val="18"/>
                <w:szCs w:val="18"/>
              </w:rPr>
              <w:t>Уровень безработицы снизился до 2,2%, что является минимальными значениями. Инфляция в России в 2025 году составила 5,59%. Однако на 30 июня 2026 года годовая инфляция достигла 6,00%.</w:t>
            </w:r>
          </w:p>
          <w:p w:rsidR="00E14DE7" w:rsidRDefault="00E14DE7" w:rsidP="00E14DE7">
            <w:pPr>
              <w:ind w:left="105"/>
            </w:pPr>
            <w:r>
              <w:rPr>
                <w:sz w:val="18"/>
                <w:szCs w:val="18"/>
              </w:rPr>
              <w:t xml:space="preserve">Банк России будет поддерживать такую жесткость денежно-кредитных условий, которая необходима для возвращения инфляции к цели. По прогнозу Банка России, с учетом проводимой денежно-кредитной политики годовая инфляция снизится до 4,0-5,0% в 2026 году. В 2027 году и далее Банк России будет удерживать годовую инфляцию на цели, вблизи 4%. </w:t>
            </w:r>
            <w:proofErr w:type="gramStart"/>
            <w:r>
              <w:rPr>
                <w:sz w:val="18"/>
                <w:szCs w:val="18"/>
              </w:rPr>
              <w:t>Согласно</w:t>
            </w:r>
            <w:proofErr w:type="gramEnd"/>
            <w:r>
              <w:rPr>
                <w:sz w:val="18"/>
                <w:szCs w:val="18"/>
              </w:rPr>
              <w:t xml:space="preserve"> приведенного официального заявления, на сайте Банка России.</w:t>
            </w:r>
          </w:p>
          <w:p w:rsidR="00E14DE7" w:rsidRDefault="00E14DE7" w:rsidP="00E14DE7">
            <w:pPr>
              <w:ind w:left="105"/>
            </w:pPr>
            <w:r>
              <w:rPr>
                <w:sz w:val="18"/>
                <w:szCs w:val="18"/>
              </w:rPr>
              <w:t xml:space="preserve">Ключевая ставка по состоянию на текущий момент снижена до 14% </w:t>
            </w:r>
            <w:proofErr w:type="gramStart"/>
            <w:r>
              <w:rPr>
                <w:sz w:val="18"/>
                <w:szCs w:val="18"/>
              </w:rPr>
              <w:t>годовых</w:t>
            </w:r>
            <w:proofErr w:type="gramEnd"/>
            <w:r>
              <w:rPr>
                <w:sz w:val="18"/>
                <w:szCs w:val="18"/>
              </w:rPr>
              <w:t>.</w:t>
            </w:r>
          </w:p>
          <w:p w:rsidR="00E14DE7" w:rsidRDefault="00E14DE7" w:rsidP="00E14DE7">
            <w:pPr>
              <w:ind w:left="105"/>
            </w:pPr>
            <w:r>
              <w:rPr>
                <w:sz w:val="18"/>
                <w:szCs w:val="18"/>
              </w:rPr>
              <w:t>В 1 полугодии 2026 года наблюдалось ослабление рубля.</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Изменения внешних условий, в которых организация осуществляет свою деятельность, действия организации в отношении указанных изменений и их результат</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Следующие факторы оказывали косвенное или прямое влияние на деятельность общества в 1 полугодии 2026 года:</w:t>
            </w:r>
          </w:p>
          <w:p w:rsidR="00E14DE7" w:rsidRDefault="00E14DE7" w:rsidP="00E14DE7">
            <w:pPr>
              <w:ind w:left="105"/>
            </w:pPr>
            <w:r>
              <w:rPr>
                <w:sz w:val="18"/>
                <w:szCs w:val="18"/>
              </w:rPr>
              <w:t xml:space="preserve">•Повышение геополитической неопределенности; •Увеличение цен на сырьевые товары; •Усиление </w:t>
            </w:r>
            <w:proofErr w:type="spellStart"/>
            <w:r>
              <w:rPr>
                <w:sz w:val="18"/>
                <w:szCs w:val="18"/>
              </w:rPr>
              <w:t>санкционного</w:t>
            </w:r>
            <w:proofErr w:type="spellEnd"/>
            <w:r>
              <w:rPr>
                <w:sz w:val="18"/>
                <w:szCs w:val="18"/>
              </w:rPr>
              <w:t xml:space="preserve"> давления •Рост долговой нагрузки эмитентов корпоративных облигаций; •Опережающие темпы роста расходов государственного бюджета.</w:t>
            </w:r>
          </w:p>
          <w:p w:rsidR="00E14DE7" w:rsidRDefault="00E14DE7" w:rsidP="00E14DE7">
            <w:pPr>
              <w:ind w:left="105"/>
            </w:pPr>
            <w:r>
              <w:rPr>
                <w:sz w:val="18"/>
                <w:szCs w:val="18"/>
              </w:rPr>
              <w:t xml:space="preserve">Руководство считает, что оно принимает все необходимые меры для обеспечения экономической устойчивости и эффективной работы Общества. Однако в связи с постоянно меняющимися мировыми настроениями, растущим количеством санкций против страны сложно сделать долгосрочные прогнозы развития экономической ситуации в России и оценки руководства могут отличаться от фактических результатов. Как и в любых экономических прогнозах, предположения и вероятность их реализации неизбежно связаны с высоким уровнем </w:t>
            </w:r>
            <w:proofErr w:type="gramStart"/>
            <w:r>
              <w:rPr>
                <w:sz w:val="18"/>
                <w:szCs w:val="18"/>
              </w:rPr>
              <w:t>неопределенности</w:t>
            </w:r>
            <w:proofErr w:type="gramEnd"/>
            <w:r>
              <w:rPr>
                <w:sz w:val="18"/>
                <w:szCs w:val="18"/>
              </w:rPr>
              <w:t xml:space="preserve"> и фактические результаты могут отличаться от прогнозируемых.</w:t>
            </w:r>
          </w:p>
        </w:tc>
      </w:tr>
    </w:tbl>
    <w:tbl>
      <w:tblPr>
        <w:tblStyle w:val="TableStyle5"/>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pPr>
              <w:jc w:val="center"/>
            </w:pPr>
            <w:r>
              <w:br w:type="page"/>
            </w:r>
          </w:p>
        </w:tc>
        <w:tc>
          <w:tcPr>
            <w:tcW w:w="10425" w:type="dxa"/>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shd w:val="clear" w:color="auto" w:fill="auto"/>
            <w:vAlign w:val="center"/>
          </w:tcPr>
          <w:p w:rsidR="00E14DE7" w:rsidRDefault="00E14DE7" w:rsidP="00E14DE7">
            <w:pPr>
              <w:ind w:left="105"/>
            </w:pPr>
          </w:p>
        </w:tc>
      </w:tr>
    </w:tbl>
    <w:p w:rsidR="00E14DE7" w:rsidRDefault="00E14DE7" w:rsidP="00E14DE7">
      <w:pPr>
        <w:sectPr w:rsidR="00E14DE7">
          <w:pgSz w:w="11907" w:h="16839"/>
          <w:pgMar w:top="567" w:right="567" w:bottom="567" w:left="567" w:header="720" w:footer="720" w:gutter="0"/>
          <w:cols w:space="720"/>
        </w:sectPr>
      </w:pPr>
    </w:p>
    <w:tbl>
      <w:tblPr>
        <w:tblStyle w:val="TableStyle6"/>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ind w:left="105"/>
            </w:pPr>
          </w:p>
        </w:tc>
        <w:tc>
          <w:tcPr>
            <w:tcW w:w="10425" w:type="dxa"/>
            <w:gridSpan w:val="3"/>
            <w:shd w:val="clear" w:color="auto" w:fill="auto"/>
            <w:vAlign w:val="center"/>
          </w:tcPr>
          <w:p w:rsidR="00E14DE7" w:rsidRDefault="00E14DE7" w:rsidP="00E14DE7">
            <w:pPr>
              <w:ind w:left="105"/>
            </w:pPr>
            <w:r>
              <w:rPr>
                <w:b/>
                <w:sz w:val="24"/>
                <w:szCs w:val="24"/>
              </w:rPr>
              <w:t>Примечание 3. Основы составления бухгалтерской (финансовой) отчетности</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ind w:left="105"/>
            </w:pPr>
          </w:p>
        </w:tc>
        <w:tc>
          <w:tcPr>
            <w:tcW w:w="4305" w:type="dxa"/>
            <w:shd w:val="clear" w:color="auto" w:fill="auto"/>
            <w:vAlign w:val="center"/>
          </w:tcPr>
          <w:p w:rsidR="00E14DE7" w:rsidRDefault="00E14DE7" w:rsidP="00E14DE7">
            <w:pPr>
              <w:ind w:left="105"/>
            </w:pPr>
          </w:p>
        </w:tc>
        <w:tc>
          <w:tcPr>
            <w:tcW w:w="538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gridSpan w:val="3"/>
            <w:shd w:val="clear" w:color="auto" w:fill="auto"/>
            <w:vAlign w:val="center"/>
          </w:tcPr>
          <w:p w:rsidR="00E14DE7" w:rsidRDefault="00E14DE7" w:rsidP="00E14DE7">
            <w:pPr>
              <w:jc w:val="center"/>
            </w:pPr>
            <w:r>
              <w:rPr>
                <w:b/>
                <w:sz w:val="22"/>
              </w:rPr>
              <w:t>Основы составления бухгалтерской (финансовой) отчетности</w:t>
            </w:r>
          </w:p>
        </w:tc>
      </w:tr>
      <w:tr w:rsidR="00E14DE7" w:rsidTr="00E14DE7">
        <w:trPr>
          <w:cantSplit/>
        </w:trPr>
        <w:tc>
          <w:tcPr>
            <w:tcW w:w="135" w:type="dxa"/>
            <w:shd w:val="clear" w:color="auto" w:fill="auto"/>
            <w:vAlign w:val="center"/>
          </w:tcPr>
          <w:p w:rsidR="00E14DE7" w:rsidRDefault="00E14DE7" w:rsidP="00E14DE7">
            <w:pPr>
              <w:jc w:val="right"/>
            </w:pPr>
          </w:p>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pPr>
              <w:ind w:left="105"/>
            </w:pPr>
          </w:p>
        </w:tc>
        <w:tc>
          <w:tcPr>
            <w:tcW w:w="538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jc w:val="right"/>
            </w:pPr>
          </w:p>
        </w:tc>
        <w:tc>
          <w:tcPr>
            <w:tcW w:w="10425" w:type="dxa"/>
            <w:gridSpan w:val="3"/>
            <w:shd w:val="clear" w:color="auto" w:fill="auto"/>
            <w:vAlign w:val="center"/>
          </w:tcPr>
          <w:p w:rsidR="00E14DE7" w:rsidRDefault="00E14DE7" w:rsidP="00E14DE7">
            <w:pPr>
              <w:jc w:val="right"/>
            </w:pPr>
            <w:r>
              <w:rPr>
                <w:b/>
                <w:sz w:val="20"/>
                <w:szCs w:val="20"/>
              </w:rPr>
              <w:t>Таблица 3.1</w:t>
            </w:r>
          </w:p>
        </w:tc>
      </w:tr>
    </w:tbl>
    <w:tbl>
      <w:tblPr>
        <w:tblStyle w:val="TableStyle7"/>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Текстовое пояснение</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Основы подготовки бухгалтерской (финансовой) отчетности</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proofErr w:type="gramStart"/>
            <w:r>
              <w:rPr>
                <w:sz w:val="18"/>
                <w:szCs w:val="18"/>
              </w:rPr>
              <w:t xml:space="preserve">Данная бухгалтерская (финансовая) отчетность подготовлена в соответствии с правилами составления бухгалтерской (финансовой) отчетности, установленными в Российской Федерации, с учетом требований Положения Банка России от 02.10.2024 N 843-П "О формах раскрытия информации в бухгалтерской (финансовой) отчетности отдельных </w:t>
            </w:r>
            <w:proofErr w:type="spellStart"/>
            <w:r>
              <w:rPr>
                <w:sz w:val="18"/>
                <w:szCs w:val="18"/>
              </w:rPr>
              <w:t>некредитных</w:t>
            </w:r>
            <w:proofErr w:type="spellEnd"/>
            <w:r>
              <w:rPr>
                <w:sz w:val="18"/>
                <w:szCs w:val="18"/>
              </w:rPr>
              <w:t xml:space="preserve">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бухгалтерской (финансовой) отчетности утвержденными Банком</w:t>
            </w:r>
            <w:proofErr w:type="gramEnd"/>
            <w:r>
              <w:rPr>
                <w:sz w:val="18"/>
                <w:szCs w:val="18"/>
              </w:rPr>
              <w:t xml:space="preserve"> России. При составлении отчетности Общество руководствовалось соответствующими стандартами и разъяснениями МСФО, введенными в действие на территории РФ (с учетом применения МСФО 9 и 16).</w:t>
            </w:r>
          </w:p>
          <w:p w:rsidR="00E14DE7" w:rsidRDefault="00E14DE7" w:rsidP="00E14DE7">
            <w:pPr>
              <w:ind w:left="105"/>
            </w:pPr>
            <w:proofErr w:type="gramStart"/>
            <w:r>
              <w:rPr>
                <w:sz w:val="18"/>
                <w:szCs w:val="18"/>
              </w:rPr>
              <w:t>Общество не заполняет примечания по операциям, которые отсутствовали в отчетном периоде, при отсутствии показателей (статей) в формах бухгалтерской (финансовой) отчетности Общества, а также в примечаниях к ним, эти показатели (статьи) исключаются из форм бухгалтерской (финансовой) отчетности Общества, а также из примечаний к ним в соответствии с Положением Банка России от 02.10.2024г. №843-П.</w:t>
            </w:r>
            <w:proofErr w:type="gramEnd"/>
          </w:p>
          <w:p w:rsidR="00E14DE7" w:rsidRDefault="00E14DE7" w:rsidP="00E14DE7">
            <w:pPr>
              <w:ind w:left="105"/>
            </w:pPr>
            <w:r>
              <w:rPr>
                <w:sz w:val="18"/>
                <w:szCs w:val="18"/>
              </w:rPr>
              <w:t>Нумерация строк изменяется согласно Положению Банка России от 02.10.2024г. №843-П.</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Причины </w:t>
            </w:r>
            <w:proofErr w:type="spellStart"/>
            <w:r>
              <w:rPr>
                <w:sz w:val="18"/>
                <w:szCs w:val="18"/>
              </w:rPr>
              <w:t>реклассификации</w:t>
            </w:r>
            <w:proofErr w:type="spellEnd"/>
            <w:r>
              <w:rPr>
                <w:sz w:val="18"/>
                <w:szCs w:val="18"/>
              </w:rPr>
              <w:t xml:space="preserve"> сравнительных сумм</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В связи с изменением методики формирования отдельных статей Отчета о движении денежных сре</w:t>
            </w:r>
            <w:proofErr w:type="gramStart"/>
            <w:r>
              <w:rPr>
                <w:sz w:val="18"/>
                <w:szCs w:val="18"/>
              </w:rPr>
              <w:t>дств ск</w:t>
            </w:r>
            <w:proofErr w:type="gramEnd"/>
            <w:r>
              <w:rPr>
                <w:sz w:val="18"/>
                <w:szCs w:val="18"/>
              </w:rPr>
              <w:t xml:space="preserve">орректированы </w:t>
            </w:r>
            <w:proofErr w:type="spellStart"/>
            <w:r>
              <w:rPr>
                <w:sz w:val="18"/>
                <w:szCs w:val="18"/>
              </w:rPr>
              <w:t>сопостовимые</w:t>
            </w:r>
            <w:proofErr w:type="spellEnd"/>
            <w:r>
              <w:rPr>
                <w:sz w:val="18"/>
                <w:szCs w:val="18"/>
              </w:rPr>
              <w:t xml:space="preserve"> данные прошлого периода</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Описание </w:t>
            </w:r>
            <w:proofErr w:type="spellStart"/>
            <w:r>
              <w:rPr>
                <w:sz w:val="18"/>
                <w:szCs w:val="18"/>
              </w:rPr>
              <w:t>реклассификации</w:t>
            </w:r>
            <w:proofErr w:type="spellEnd"/>
            <w:r>
              <w:rPr>
                <w:sz w:val="18"/>
                <w:szCs w:val="18"/>
              </w:rPr>
              <w:t xml:space="preserve"> сравнительных сумм (включая информацию по состоянию на начало предыдущего отчетного года)</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1. Часть денежных потоков, не связанных с расходами, которые признаются в составе  прямых операционных расходов, перенесены из статьи "Оплата поставщикам за товары и услуги" в статью "Оплата прочих административных и операционных расходов".2. Денежные потоки, в части оплаты НДС  по арендным платежам, исключены из статьи "Денежные выплаты поставщикам за товары и услуги" и отражены по статье "Прочие денежные потоки от операционной деятельности". 3. Денежные потоки, связанные с оплатой поставщикам и последующим возмещением клиентами необходимых расходов, </w:t>
            </w:r>
            <w:proofErr w:type="spellStart"/>
            <w:r>
              <w:rPr>
                <w:sz w:val="18"/>
                <w:szCs w:val="18"/>
              </w:rPr>
              <w:t>понесеных</w:t>
            </w:r>
            <w:proofErr w:type="spellEnd"/>
            <w:r>
              <w:rPr>
                <w:sz w:val="18"/>
                <w:szCs w:val="18"/>
              </w:rPr>
              <w:t xml:space="preserve"> Обществом при оказании своих услуг, исключены из статей "Денежные выплаты поставщикам за товары и услуги" и "Денежные поступления от предоставления услуг и полученные комиссии" на "нетто" основе и отражены по статье "Прочие денежные потоки от операционной деятельности"</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Сумма каждого показателя, который является предметом </w:t>
            </w:r>
            <w:proofErr w:type="spellStart"/>
            <w:r>
              <w:rPr>
                <w:sz w:val="18"/>
                <w:szCs w:val="18"/>
              </w:rPr>
              <w:t>реклассификации</w:t>
            </w:r>
            <w:proofErr w:type="spellEnd"/>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Изменения в Отчете о движении денежных средств за 1 полугодие 2025г. В разрезе показателей:1. "Денежные поступления от предоставления услуг и полученные </w:t>
            </w:r>
            <w:proofErr w:type="spellStart"/>
            <w:r>
              <w:rPr>
                <w:sz w:val="18"/>
                <w:szCs w:val="18"/>
              </w:rPr>
              <w:t>комисси</w:t>
            </w:r>
            <w:proofErr w:type="spellEnd"/>
            <w:r>
              <w:rPr>
                <w:sz w:val="18"/>
                <w:szCs w:val="18"/>
              </w:rPr>
              <w:t xml:space="preserve">" было 6 252 </w:t>
            </w:r>
            <w:proofErr w:type="spellStart"/>
            <w:r>
              <w:rPr>
                <w:sz w:val="18"/>
                <w:szCs w:val="18"/>
              </w:rPr>
              <w:t>тыс</w:t>
            </w:r>
            <w:proofErr w:type="gramStart"/>
            <w:r>
              <w:rPr>
                <w:sz w:val="18"/>
                <w:szCs w:val="18"/>
              </w:rPr>
              <w:t>.р</w:t>
            </w:r>
            <w:proofErr w:type="gramEnd"/>
            <w:r>
              <w:rPr>
                <w:sz w:val="18"/>
                <w:szCs w:val="18"/>
              </w:rPr>
              <w:t>уб</w:t>
            </w:r>
            <w:proofErr w:type="spellEnd"/>
            <w:r>
              <w:rPr>
                <w:sz w:val="18"/>
                <w:szCs w:val="18"/>
              </w:rPr>
              <w:t xml:space="preserve">., стало 6 211 </w:t>
            </w:r>
            <w:proofErr w:type="spellStart"/>
            <w:r>
              <w:rPr>
                <w:sz w:val="18"/>
                <w:szCs w:val="18"/>
              </w:rPr>
              <w:t>тыс.руб</w:t>
            </w:r>
            <w:proofErr w:type="spellEnd"/>
            <w:r>
              <w:rPr>
                <w:sz w:val="18"/>
                <w:szCs w:val="18"/>
              </w:rPr>
              <w:t xml:space="preserve">. 2. "Денежные выплаты поставщикам за товары и услуги: было 5 262 </w:t>
            </w:r>
            <w:proofErr w:type="spellStart"/>
            <w:r>
              <w:rPr>
                <w:sz w:val="18"/>
                <w:szCs w:val="18"/>
              </w:rPr>
              <w:t>тыс</w:t>
            </w:r>
            <w:proofErr w:type="gramStart"/>
            <w:r>
              <w:rPr>
                <w:sz w:val="18"/>
                <w:szCs w:val="18"/>
              </w:rPr>
              <w:t>.р</w:t>
            </w:r>
            <w:proofErr w:type="gramEnd"/>
            <w:r>
              <w:rPr>
                <w:sz w:val="18"/>
                <w:szCs w:val="18"/>
              </w:rPr>
              <w:t>уб</w:t>
            </w:r>
            <w:proofErr w:type="spellEnd"/>
            <w:r>
              <w:rPr>
                <w:sz w:val="18"/>
                <w:szCs w:val="18"/>
              </w:rPr>
              <w:t xml:space="preserve">., стало 178 </w:t>
            </w:r>
            <w:proofErr w:type="spellStart"/>
            <w:r>
              <w:rPr>
                <w:sz w:val="18"/>
                <w:szCs w:val="18"/>
              </w:rPr>
              <w:t>тыс.руб</w:t>
            </w:r>
            <w:proofErr w:type="spellEnd"/>
            <w:r>
              <w:rPr>
                <w:sz w:val="18"/>
                <w:szCs w:val="18"/>
              </w:rPr>
              <w:t xml:space="preserve">., 3. "Оплата прочих административных и операционных расходов" было 55 </w:t>
            </w:r>
            <w:proofErr w:type="spellStart"/>
            <w:r>
              <w:rPr>
                <w:sz w:val="18"/>
                <w:szCs w:val="18"/>
              </w:rPr>
              <w:t>тыс</w:t>
            </w:r>
            <w:proofErr w:type="gramStart"/>
            <w:r>
              <w:rPr>
                <w:sz w:val="18"/>
                <w:szCs w:val="18"/>
              </w:rPr>
              <w:t>.р</w:t>
            </w:r>
            <w:proofErr w:type="gramEnd"/>
            <w:r>
              <w:rPr>
                <w:sz w:val="18"/>
                <w:szCs w:val="18"/>
              </w:rPr>
              <w:t>уб</w:t>
            </w:r>
            <w:proofErr w:type="spellEnd"/>
            <w:r>
              <w:rPr>
                <w:sz w:val="18"/>
                <w:szCs w:val="18"/>
              </w:rPr>
              <w:t xml:space="preserve">., стало 5 038 </w:t>
            </w:r>
            <w:proofErr w:type="spellStart"/>
            <w:r>
              <w:rPr>
                <w:sz w:val="18"/>
                <w:szCs w:val="18"/>
              </w:rPr>
              <w:t>тыс.руб</w:t>
            </w:r>
            <w:proofErr w:type="spellEnd"/>
            <w:r>
              <w:rPr>
                <w:sz w:val="18"/>
                <w:szCs w:val="18"/>
              </w:rPr>
              <w:t xml:space="preserve">., 4. "Прочие денежные потоки от операционной деятельности" данные отсутствовали, стало 59 </w:t>
            </w:r>
            <w:proofErr w:type="spellStart"/>
            <w:r>
              <w:rPr>
                <w:sz w:val="18"/>
                <w:szCs w:val="18"/>
              </w:rPr>
              <w:t>тыс</w:t>
            </w:r>
            <w:proofErr w:type="gramStart"/>
            <w:r>
              <w:rPr>
                <w:sz w:val="18"/>
                <w:szCs w:val="18"/>
              </w:rPr>
              <w:t>.р</w:t>
            </w:r>
            <w:proofErr w:type="gramEnd"/>
            <w:r>
              <w:rPr>
                <w:sz w:val="18"/>
                <w:szCs w:val="18"/>
              </w:rPr>
              <w:t>уб</w:t>
            </w:r>
            <w:proofErr w:type="spellEnd"/>
            <w:r>
              <w:rPr>
                <w:sz w:val="18"/>
                <w:szCs w:val="18"/>
              </w:rPr>
              <w:t>.</w:t>
            </w:r>
          </w:p>
        </w:tc>
      </w:tr>
      <w:tr w:rsidR="00E14DE7" w:rsidTr="00E14DE7">
        <w:trPr>
          <w:cantSplit/>
        </w:trPr>
        <w:tc>
          <w:tcPr>
            <w:tcW w:w="135" w:type="dxa"/>
            <w:shd w:val="clear" w:color="auto" w:fill="auto"/>
            <w:vAlign w:val="center"/>
          </w:tcPr>
          <w:p w:rsidR="00E14DE7" w:rsidRDefault="00E14DE7" w:rsidP="00E14DE7">
            <w:pPr>
              <w:jc w:val="center"/>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Существенное влияние ретроспективного применения учетной </w:t>
            </w:r>
            <w:proofErr w:type="gramStart"/>
            <w:r>
              <w:rPr>
                <w:sz w:val="18"/>
                <w:szCs w:val="18"/>
              </w:rPr>
              <w:t>политики на</w:t>
            </w:r>
            <w:proofErr w:type="gramEnd"/>
            <w:r>
              <w:rPr>
                <w:sz w:val="18"/>
                <w:szCs w:val="18"/>
              </w:rPr>
              <w:t xml:space="preserve"> сравнительную информацию на начало предыдущего отчетного года, существенное влияние ретроспективного пересчета или </w:t>
            </w:r>
            <w:proofErr w:type="spellStart"/>
            <w:r>
              <w:rPr>
                <w:sz w:val="18"/>
                <w:szCs w:val="18"/>
              </w:rPr>
              <w:t>реклассификации</w:t>
            </w:r>
            <w:proofErr w:type="spellEnd"/>
            <w:r>
              <w:rPr>
                <w:sz w:val="18"/>
                <w:szCs w:val="18"/>
              </w:rPr>
              <w:t xml:space="preserve"> остатков на начало предыдущего отчетного года в связи с исправлением ошибок</w:t>
            </w:r>
          </w:p>
        </w:tc>
        <w:tc>
          <w:tcPr>
            <w:tcW w:w="53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Ретроспективного пересчета не было.</w:t>
            </w:r>
          </w:p>
        </w:tc>
      </w:tr>
    </w:tbl>
    <w:tbl>
      <w:tblPr>
        <w:tblStyle w:val="TableStyle8"/>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pPr>
              <w:jc w:val="center"/>
            </w:pPr>
            <w:r>
              <w:br w:type="page"/>
            </w:r>
          </w:p>
        </w:tc>
        <w:tc>
          <w:tcPr>
            <w:tcW w:w="10425" w:type="dxa"/>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pPr>
              <w:jc w:val="center"/>
            </w:pPr>
          </w:p>
        </w:tc>
        <w:tc>
          <w:tcPr>
            <w:tcW w:w="10425" w:type="dxa"/>
            <w:shd w:val="clear" w:color="auto" w:fill="auto"/>
            <w:vAlign w:val="center"/>
          </w:tcPr>
          <w:p w:rsidR="00E14DE7" w:rsidRDefault="00E14DE7" w:rsidP="00E14DE7">
            <w:pPr>
              <w:ind w:left="105"/>
            </w:pPr>
          </w:p>
        </w:tc>
      </w:tr>
    </w:tbl>
    <w:p w:rsidR="00E14DE7" w:rsidRDefault="00E14DE7" w:rsidP="00E14DE7">
      <w:pPr>
        <w:sectPr w:rsidR="00E14DE7">
          <w:pgSz w:w="11907" w:h="16839"/>
          <w:pgMar w:top="567" w:right="567" w:bottom="567" w:left="567" w:header="720" w:footer="720" w:gutter="0"/>
          <w:cols w:space="720"/>
        </w:sectPr>
      </w:pPr>
    </w:p>
    <w:tbl>
      <w:tblPr>
        <w:tblStyle w:val="TableStyle9"/>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tc>
        <w:tc>
          <w:tcPr>
            <w:tcW w:w="10425" w:type="dxa"/>
            <w:gridSpan w:val="3"/>
            <w:shd w:val="clear" w:color="auto" w:fill="auto"/>
            <w:vAlign w:val="center"/>
          </w:tcPr>
          <w:p w:rsidR="00E14DE7" w:rsidRDefault="00E14DE7" w:rsidP="00E14DE7">
            <w:pPr>
              <w:ind w:left="105"/>
            </w:pPr>
            <w:r>
              <w:rPr>
                <w:b/>
                <w:sz w:val="24"/>
                <w:szCs w:val="24"/>
              </w:rPr>
              <w:t>Примечание 4. Принципы учетной политики, бухгалтерские оценки и профессиональные суждения в применении учетной политики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tc>
        <w:tc>
          <w:tcPr>
            <w:tcW w:w="4305" w:type="dxa"/>
            <w:shd w:val="clear" w:color="auto" w:fill="auto"/>
            <w:vAlign w:val="center"/>
          </w:tcPr>
          <w:p w:rsidR="00E14DE7" w:rsidRDefault="00E14DE7" w:rsidP="00E14DE7"/>
        </w:tc>
        <w:tc>
          <w:tcPr>
            <w:tcW w:w="538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3"/>
            <w:shd w:val="clear" w:color="auto" w:fill="auto"/>
            <w:vAlign w:val="center"/>
          </w:tcPr>
          <w:p w:rsidR="00E14DE7" w:rsidRDefault="00E14DE7" w:rsidP="00E14DE7">
            <w:pPr>
              <w:jc w:val="center"/>
            </w:pPr>
            <w:r>
              <w:rPr>
                <w:b/>
                <w:sz w:val="22"/>
              </w:rPr>
              <w:t>Изложение принципов учетной политики, бухгалтерские оценки и профессиональные суждения в применении учетной политики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tc>
        <w:tc>
          <w:tcPr>
            <w:tcW w:w="4305" w:type="dxa"/>
            <w:shd w:val="clear" w:color="auto" w:fill="auto"/>
            <w:vAlign w:val="center"/>
          </w:tcPr>
          <w:p w:rsidR="00E14DE7" w:rsidRDefault="00E14DE7" w:rsidP="00E14DE7"/>
        </w:tc>
        <w:tc>
          <w:tcPr>
            <w:tcW w:w="5385" w:type="dxa"/>
            <w:shd w:val="clear" w:color="auto" w:fill="auto"/>
            <w:vAlign w:val="center"/>
          </w:tcPr>
          <w:p w:rsidR="00E14DE7" w:rsidRDefault="00E14DE7" w:rsidP="00E14DE7">
            <w:pPr>
              <w:jc w:val="right"/>
            </w:pPr>
          </w:p>
        </w:tc>
      </w:tr>
      <w:tr w:rsidR="00E14DE7" w:rsidTr="00E14DE7">
        <w:trPr>
          <w:cantSplit/>
        </w:trPr>
        <w:tc>
          <w:tcPr>
            <w:tcW w:w="135" w:type="dxa"/>
            <w:shd w:val="clear" w:color="auto" w:fill="auto"/>
            <w:vAlign w:val="center"/>
          </w:tcPr>
          <w:p w:rsidR="00E14DE7" w:rsidRDefault="00E14DE7" w:rsidP="00E14DE7"/>
        </w:tc>
        <w:tc>
          <w:tcPr>
            <w:tcW w:w="10425" w:type="dxa"/>
            <w:gridSpan w:val="3"/>
            <w:shd w:val="clear" w:color="auto" w:fill="auto"/>
            <w:vAlign w:val="center"/>
          </w:tcPr>
          <w:p w:rsidR="00E14DE7" w:rsidRDefault="00E14DE7" w:rsidP="00E14DE7">
            <w:pPr>
              <w:jc w:val="right"/>
            </w:pPr>
            <w:r>
              <w:rPr>
                <w:b/>
                <w:sz w:val="20"/>
                <w:szCs w:val="20"/>
              </w:rPr>
              <w:t>Таблица 4.1</w:t>
            </w:r>
          </w:p>
        </w:tc>
      </w:tr>
    </w:tbl>
    <w:tbl>
      <w:tblPr>
        <w:tblStyle w:val="TableStyle10"/>
        <w:tblW w:w="10560" w:type="dxa"/>
        <w:tblInd w:w="57" w:type="dxa"/>
        <w:tblLayout w:type="fixed"/>
        <w:tblCellMar>
          <w:left w:w="57" w:type="dxa"/>
          <w:right w:w="57" w:type="dxa"/>
        </w:tblCellMar>
        <w:tblLook w:val="04A0" w:firstRow="1" w:lastRow="0" w:firstColumn="1" w:lastColumn="0" w:noHBand="0" w:noVBand="1"/>
      </w:tblPr>
      <w:tblGrid>
        <w:gridCol w:w="135"/>
        <w:gridCol w:w="735"/>
        <w:gridCol w:w="2490"/>
        <w:gridCol w:w="72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Номер показателя</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Наименование показателя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Текстовое пояснение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2</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I. Влияние бухгалтерских оценок и допущений</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proofErr w:type="gramStart"/>
            <w:r>
              <w:rPr>
                <w:szCs w:val="16"/>
              </w:rPr>
              <w:t>Суждения (помимо тех, которые связаны с бухгалтерскими оценками), которые были выработаны руководством организации в процессе применения учетной политики и которые оказывают существенное влияние на суммы, отраженные в бухгалтерской (финансовой) отчетности</w:t>
            </w:r>
            <w:proofErr w:type="gramEnd"/>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Подготовка данной бухгалтерской (финансовой) отчетности требует применения оценок и допущений, которые оказывают влияние на отражаемые суммы активов и обязательств, раскрытие условных активов и обязательств на дату составления бухгалтерской (финансовой) отчетности, а также суммы доходов и расходов в течение отчетного периода.  Подготовка данной бухгалтерской (финансовой) отчетности также требует использования суждения руководства в процессе применения учетной политики Общества, Оценки и лежащие в их основе допущения пересматриваются на регулярной основе. Корректировки в оценках признаются перспективно в том отчетном периоде, в котором были пересмотрены соответствующие оценки, и в любых последующих периодах, которые они затрагивают.</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Влияние бухгалтерских оценок и допущений на признанные активы и обязательства, показатели бухгалтерской (финансовой) отчетности, на суммы которых бухгалтерские оценки и допущения оказывают существенное влияние</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Существенных </w:t>
            </w:r>
            <w:proofErr w:type="spellStart"/>
            <w:r>
              <w:rPr>
                <w:szCs w:val="16"/>
              </w:rPr>
              <w:t>неопреденных</w:t>
            </w:r>
            <w:proofErr w:type="spellEnd"/>
            <w:r>
              <w:rPr>
                <w:szCs w:val="16"/>
              </w:rPr>
              <w:t xml:space="preserve"> оценок и критических мотивированных суждений при применении положений учетной политики Обществом не принималось.</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Подходы к оценке финансовых инструментов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"Руководствуясь утвержденными </w:t>
            </w:r>
            <w:proofErr w:type="gramStart"/>
            <w:r>
              <w:rPr>
                <w:szCs w:val="16"/>
              </w:rPr>
              <w:t>бизнес-моделями</w:t>
            </w:r>
            <w:proofErr w:type="gramEnd"/>
            <w:r>
              <w:rPr>
                <w:szCs w:val="16"/>
              </w:rPr>
              <w:t>, инвестиционной политикой и политикой управления рисками Общество оценивает свои финансовые инструменты в соответствии с положениями МСФО (IFRS) 9.</w:t>
            </w:r>
          </w:p>
          <w:p w:rsidR="00E14DE7" w:rsidRDefault="00E14DE7" w:rsidP="00E14DE7">
            <w:pPr>
              <w:ind w:left="105"/>
            </w:pPr>
            <w:r>
              <w:rPr>
                <w:szCs w:val="16"/>
              </w:rPr>
              <w:t xml:space="preserve">При первоначальном признании Общество оценивает финансовые инструменты по справедливой стоимости в соответствии с требованиями МСФО (IFRS) 13. Лучшим свидетельством справедливой стоимости финансового инструмента при первоначальном признании обычно является цена сделки, то есть справедливая стоимость выплаченного или полученного возмещения.  Финансовые активы, которые в момент первоначального признания, отнесены в категорию </w:t>
            </w:r>
            <w:proofErr w:type="gramStart"/>
            <w:r>
              <w:rPr>
                <w:szCs w:val="16"/>
              </w:rPr>
              <w:t>оцениваемых</w:t>
            </w:r>
            <w:proofErr w:type="gramEnd"/>
            <w:r>
              <w:rPr>
                <w:szCs w:val="16"/>
              </w:rPr>
              <w:t xml:space="preserve"> по справедливой стоимости, изменения которой отражаются в составе прибыли или убытка за период, не </w:t>
            </w:r>
            <w:proofErr w:type="spellStart"/>
            <w:r>
              <w:rPr>
                <w:szCs w:val="16"/>
              </w:rPr>
              <w:t>реклассифицируются</w:t>
            </w:r>
            <w:proofErr w:type="spellEnd"/>
            <w:r>
              <w:rPr>
                <w:szCs w:val="16"/>
              </w:rPr>
              <w:t xml:space="preserve"> из данной категории."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Переоценка активов и обязательств, выраженных в иностранной валюте</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Денежные активы и обязательства, выраженные в иностранных валютах, отличных от функциональной валюты, пересчитываются в рубли по официальному курсу Банка России, действовавшему на конец отчетного периода. Доходы и расходы (положительные и отрицательные курсовые разницы) от расчетов по операциям в иностранных валютах и от пересчета денежных активов и обязательств в функциональную валюту по обменному курсу Банка России на конец отчетного периода отражаются на счетах прибылей и убытков. </w:t>
            </w:r>
            <w:proofErr w:type="spellStart"/>
            <w:r>
              <w:rPr>
                <w:szCs w:val="16"/>
              </w:rPr>
              <w:t>Неденежные</w:t>
            </w:r>
            <w:proofErr w:type="spellEnd"/>
            <w:r>
              <w:rPr>
                <w:szCs w:val="16"/>
              </w:rPr>
              <w:t xml:space="preserve"> активы и обязательства, выраженные в иностранной валюте, оцениваемые по справедливой стоимости, переводятся в функциональную валюту по валютным курсам, действовавшим на даты определения справедливой стоимости. </w:t>
            </w:r>
            <w:proofErr w:type="spellStart"/>
            <w:r>
              <w:rPr>
                <w:szCs w:val="16"/>
              </w:rPr>
              <w:t>Неденежные</w:t>
            </w:r>
            <w:proofErr w:type="spellEnd"/>
            <w:r>
              <w:rPr>
                <w:szCs w:val="16"/>
              </w:rPr>
              <w:t xml:space="preserve"> активы и обязательства, выраженные в иностранной валюте и отраженные по фактическим затратам, переводятся в функциональную валюту по валютному курсу, действовавшему на дату совершения операции. Чистая прибыль от операций с иностранной валютой включает реализованный результат от валютно-обменных операций и комиссию за проведение операций с иностранной валютой.</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5</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Допущение о непрерывности деятельности организации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Данная бухгалтерская (финансовая) отчетность составлена на основе допущения руководства, что Общество сможет непрерывно продолжать свою деятельность в обозримом будущем.</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6</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Информация в отношении пересчета показателей с учетом изменений общей покупательной способности рубля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Неприменимо. Так как Общество создано в 2024 году.</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II. Изменения в учетной политике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7</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Описание изменений учетной политики, их причин и характера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анализируемом периоде  изменения в Учетную политику Общества не вносились.</w:t>
            </w:r>
          </w:p>
        </w:tc>
      </w:tr>
    </w:tbl>
    <w:p w:rsidR="00972634" w:rsidRDefault="00972634">
      <w:r>
        <w:br w:type="page"/>
      </w:r>
    </w:p>
    <w:tbl>
      <w:tblPr>
        <w:tblStyle w:val="TableStyle10"/>
        <w:tblW w:w="10560" w:type="dxa"/>
        <w:tblInd w:w="57" w:type="dxa"/>
        <w:tblLayout w:type="fixed"/>
        <w:tblCellMar>
          <w:left w:w="57" w:type="dxa"/>
          <w:right w:w="57" w:type="dxa"/>
        </w:tblCellMar>
        <w:tblLook w:val="04A0" w:firstRow="1" w:lastRow="0" w:firstColumn="1" w:lastColumn="0" w:noHBand="0" w:noVBand="1"/>
      </w:tblPr>
      <w:tblGrid>
        <w:gridCol w:w="135"/>
        <w:gridCol w:w="735"/>
        <w:gridCol w:w="2490"/>
        <w:gridCol w:w="7200"/>
      </w:tblGrid>
      <w:tr w:rsidR="00E14DE7" w:rsidTr="00781270">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8</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Причины и характер предстоящих изменений в учетной политике, предполагаемое влияние на бухгалтерскую (финансовую) отчетность или указание на то, что такое влияние не может быть обоснованно оценено</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"Опубликован ряд новых стандартов МСФО и интерпретаций, которые являются обязательными для годовых периодов, начинающихся 1 января 2026 года или после этой даты. Общество намерено принять стандарты и поправки к использованию после их вступления в силу. Общество не применяло досрочно какие-либо другие изменения к стандартам, которые были выпущены, но еще не вступили в силу.</w:t>
            </w:r>
          </w:p>
          <w:p w:rsidR="00E14DE7" w:rsidRDefault="00E14DE7" w:rsidP="00E14DE7">
            <w:pPr>
              <w:ind w:left="105"/>
            </w:pPr>
            <w:r>
              <w:rPr>
                <w:szCs w:val="16"/>
              </w:rPr>
              <w:t>МСФО (IFRS) 18 «Представление и раскрытия в финансовой отчетности» (</w:t>
            </w:r>
            <w:proofErr w:type="gramStart"/>
            <w:r>
              <w:rPr>
                <w:szCs w:val="16"/>
              </w:rPr>
              <w:t>выпущен</w:t>
            </w:r>
            <w:proofErr w:type="gramEnd"/>
            <w:r>
              <w:rPr>
                <w:szCs w:val="16"/>
              </w:rPr>
              <w:t xml:space="preserve"> 9 апреля 2024 г. и вступают в силу для годовых периодов, начинающихся 1 января 2027 г. или после этой даты). МСФО (IFRS) 18 заменяет МСФО (IAS) 1. Многие требования МСФО (IAS) 1 в новом стандарте сохранены без изменений. Новый стандарт вводит три получившие определение категории доходов и расходов в отчете о прибыли или убытке (операционную, инвестиционную и финансовую), и требует предоставления новых определенных стандартом промежуточных итогов, которые включают показатели операционной прибыли и прибыли до вычета финансовых доходов и расходов, и налогов на прибыль.</w:t>
            </w:r>
          </w:p>
          <w:p w:rsidR="00E14DE7" w:rsidRDefault="00E14DE7" w:rsidP="00E14DE7">
            <w:pPr>
              <w:ind w:left="105"/>
            </w:pPr>
            <w:r>
              <w:rPr>
                <w:szCs w:val="16"/>
              </w:rPr>
              <w:t>МСФО (IFRS) 19 «Дочерние организации без обязанности отчитываться публично: раскрытие информации» (</w:t>
            </w:r>
            <w:proofErr w:type="gramStart"/>
            <w:r>
              <w:rPr>
                <w:szCs w:val="16"/>
              </w:rPr>
              <w:t>выпущен</w:t>
            </w:r>
            <w:proofErr w:type="gramEnd"/>
            <w:r>
              <w:rPr>
                <w:szCs w:val="16"/>
              </w:rPr>
              <w:t xml:space="preserve"> 9 мая 2024 г. и вступает в силу для годовых периодов, начинающихся 1 января 2027 г. или после этой даты). Стандарт является добровольным и позволяет соответствующим определенным требованиям дочерним организациям применять МСФО стандарты финансовой отчетности с сокращенным раскрытием информации. Дочерние организации имеют право применять МСФО (IFRS) 19, если у них </w:t>
            </w:r>
            <w:proofErr w:type="gramStart"/>
            <w:r>
              <w:rPr>
                <w:szCs w:val="16"/>
              </w:rPr>
              <w:t>нет обязанности отчитываться</w:t>
            </w:r>
            <w:proofErr w:type="gramEnd"/>
            <w:r>
              <w:rPr>
                <w:szCs w:val="16"/>
              </w:rPr>
              <w:t xml:space="preserve"> публично, и их конечная или непосредственная материнская организация готовит консолидированную финансовую отчетность, которая находится в общем доступе и соответствует стандартам финансовой отчетности МСФО. У дочерней организации </w:t>
            </w:r>
            <w:proofErr w:type="gramStart"/>
            <w:r>
              <w:rPr>
                <w:szCs w:val="16"/>
              </w:rPr>
              <w:t>нет обязанности отчитываться</w:t>
            </w:r>
            <w:proofErr w:type="gramEnd"/>
            <w:r>
              <w:rPr>
                <w:szCs w:val="16"/>
              </w:rPr>
              <w:t xml:space="preserve"> публично, если ее долевые или долговые инструменты не котируются на фондовой бирже, и она не удерживает активы в качестве доверенного лица широкого круга сторонних лиц. В соответствии с МСФО (IFRS) 19 таким дочерним организациям для цели выпуска собственной финансовой отчетности разрешается использовать МСФО для малых и средних организаций или национальные стандарты бухгалтерского учета. Такие дочерние организации применяют требования других стандартов финансовой отчетности МСФО за исключением требований к раскрытию информации, вместо которых применяются требования к раскрытию, содержащиеся в МСФО (IFRS) 19.</w:t>
            </w:r>
          </w:p>
          <w:p w:rsidR="00E14DE7" w:rsidRDefault="00E14DE7" w:rsidP="00E14DE7">
            <w:pPr>
              <w:ind w:left="105"/>
            </w:pPr>
            <w:r>
              <w:rPr>
                <w:szCs w:val="16"/>
              </w:rPr>
              <w:t>Поправки к классификации и оценке финансовых инструментов – Поправки к МСФО (IFRS) 9 и МСФО (IFRS) 7 (выпущены 30 мая 2024 г. и вступают в силу для годовых периодов, начинающихся 1 января 2026 г. или после этой даты). Поправки разъясняют, каким образом следует оценивать предусмотренные договором денежные потоки по финансовым активам, особенности которых связаны с экологическими, социальными критериями и критериями корпоративного управления (ESG) и аналогичными характеристиками, и, следовательно, как следует оценивать эти активы: по амортизированной стоимости или по справедливой стоимости.</w:t>
            </w:r>
          </w:p>
          <w:p w:rsidR="00E14DE7" w:rsidRDefault="00E14DE7" w:rsidP="00E14DE7">
            <w:pPr>
              <w:ind w:left="105"/>
            </w:pPr>
            <w:r>
              <w:rPr>
                <w:szCs w:val="16"/>
              </w:rPr>
              <w:t xml:space="preserve">Ежегодные усовершенствования МСФО – Поправки к МСФО (IFRS) 1, МСФО (IFRS) 7, МСФО (IFRS) 9, МСФО (IFRS) 10 и МСФО (IAS) 7 (выпущены 18 июля 2024 г. и вступают в силу для годовых периодов, начинающихся 1 января 2026 г. или после этой даты). Поправки к МСФО (IFRS) 1 касаются исключения из ретроспективного применения других стандартов МСФО в части учета хеджирования организациями, переходящими на МСФО, и устранили незначительные несоответствия с МСФО (IFRS) 9. </w:t>
            </w:r>
            <w:proofErr w:type="gramStart"/>
            <w:r>
              <w:rPr>
                <w:szCs w:val="16"/>
              </w:rPr>
              <w:t>Поправки к МСФО (IFRS) 7 в отношении требований о раскрытии информации о прибыли или убытке от прекращения признания применительно к финансовым активам, в которых организация имеет продолжающееся участие, уточняют, что организация также должна раскрывать информацию о том, включала ли оценка справедливой стоимости существенные ненаблюдаемые исходные данные и содержат отсылку на МСФО (IFRS) 13.</w:t>
            </w:r>
            <w:proofErr w:type="gramEnd"/>
            <w:r>
              <w:rPr>
                <w:szCs w:val="16"/>
              </w:rPr>
              <w:t xml:space="preserve"> Поправки к Руководству по применению МСФО (IFRS) 7 касаются раскрытия информации об отложенной разнице между справедливой стоимостью и ценой сделки, а также раскрытия информации о кредитном риске, и устранили существовавшие ранее несоответствия с МСФО (IFRS) 9 и МСФО (IFRS) 13. Поправки к МСФО (IFRS) 9 касаются прекращения признания обязательств по аренде и оценки торговой дебиторской задолженности при первоначальном признании. </w:t>
            </w:r>
            <w:proofErr w:type="gramStart"/>
            <w:r>
              <w:rPr>
                <w:szCs w:val="16"/>
              </w:rPr>
              <w:t xml:space="preserve">Поправки разъясняют, что в случае прекращения признания обязательства по аренде в соответствии с руководством МСФО (IFRS) 9 арендатор должен применять требования МСФО (IFRS) 9 (в соответствии с которыми разница между балансовой стоимостью погашенного или переданного другой стороне финансового обязательства (или части финансового обязательства) и суммой выплаченного возмещения, включая переданные </w:t>
            </w:r>
            <w:proofErr w:type="spellStart"/>
            <w:r>
              <w:rPr>
                <w:szCs w:val="16"/>
              </w:rPr>
              <w:t>неденежные</w:t>
            </w:r>
            <w:proofErr w:type="spellEnd"/>
            <w:r>
              <w:rPr>
                <w:szCs w:val="16"/>
              </w:rPr>
              <w:t xml:space="preserve"> активы или принятые на себя обязательства, должна быть признана в</w:t>
            </w:r>
            <w:proofErr w:type="gramEnd"/>
            <w:r>
              <w:rPr>
                <w:szCs w:val="16"/>
              </w:rPr>
              <w:t xml:space="preserve"> </w:t>
            </w:r>
            <w:proofErr w:type="gramStart"/>
            <w:r>
              <w:rPr>
                <w:szCs w:val="16"/>
              </w:rPr>
              <w:t>составе</w:t>
            </w:r>
            <w:proofErr w:type="gramEnd"/>
            <w:r>
              <w:rPr>
                <w:szCs w:val="16"/>
              </w:rPr>
              <w:t xml:space="preserve"> прибыли или убытка) с отражением любой возникшей прибыли или убытка в составе прибыли или убытка. В соответствии с поправками, при первоначальном признании организация должна оценивать торговую дебиторскую задолженность в сумме, определенной на основе МСФО (IFRS) 15, если торговая дебиторская задолженность не содержит значительного финансового компонента в соответствии с руководством МСФО (IFRS) 15 (или если организация применяет практическое упрощение на основе МСФО (IFRS) 15). Поправки к МСФО (IFRS) 10 уточняют определение «агента де-факто». Сторона является агентом де-факто, когда инвестор способен направить эту сторону действовать в своих интересах. Сторона также может быть агентом де-факто, если те, кто направляют деятельность инвестора, способны направить эту сторону действовать в интересах инвестора. Поправки к МСФО (IAS) 7 уточняют наименование методов учета дочерних организаций, ассоциированных организаций и совместных предприятий. Поправки к МСФО (IFRS) 10 и МСФО (IAS) 28 – «Продажа или взнос активов в сделках между инвестором и его ассоциированной организацией или совместным предприятием» (выпущены 11 сентября 2014 года и вступают в силу для годовых периодов, начинающихся с даты, которая будет определена Советом по МСФО, или после этой даты). Данные поправки устраняют несоответствие между требованиями МСФО (IFRS) 10 и МСФО (IAS) 28, касающимися продажи или взноса активов в ассоциированную организацию или совместное предприятие инвестором. Основное последствие применения поправок заключается в том, что прибыль или убыток признаются в полном объеме в том случае, если сделка касается бизнеса. Если активы не представляют собой бизнес, даже если этими активами владеет дочерняя организация, признается только часть прибыли или убытка. Общество проводит оценку того, как данные стандарты и поправки повлияют на бухгалтерскую (финансовую) отчетность.</w:t>
            </w:r>
          </w:p>
          <w:p w:rsidR="00E14DE7" w:rsidRDefault="00E14DE7" w:rsidP="00E14DE7">
            <w:pPr>
              <w:ind w:left="105"/>
            </w:pPr>
            <w:r>
              <w:rPr>
                <w:szCs w:val="16"/>
              </w:rPr>
              <w:lastRenderedPageBreak/>
              <w:t xml:space="preserve">Документы в области регулирования бухгалтерского учета, </w:t>
            </w:r>
            <w:proofErr w:type="gramStart"/>
            <w:r>
              <w:rPr>
                <w:szCs w:val="16"/>
              </w:rPr>
              <w:t>иные</w:t>
            </w:r>
            <w:proofErr w:type="gramEnd"/>
            <w:r>
              <w:rPr>
                <w:szCs w:val="16"/>
              </w:rPr>
              <w:t xml:space="preserve"> чем МСФО, которые могут оказать влияние на раскрытие информации, финансовое положение или финансовые результаты деятельности в случае применения в будущем, включают в себя новые нормативные акты Банка России, вступающие в силу с 1 января 2026 года:</w:t>
            </w:r>
          </w:p>
          <w:p w:rsidR="00E14DE7" w:rsidRDefault="00E14DE7" w:rsidP="00E14DE7">
            <w:pPr>
              <w:ind w:left="105"/>
            </w:pPr>
            <w:r>
              <w:rPr>
                <w:szCs w:val="16"/>
              </w:rPr>
              <w:t xml:space="preserve">Указание Банка России от 30.06.2025 N 7117-У «О порядке отражения на счетах бухгалтерского учета договора доверительного управления имуществом и фактов хозяйственной жизни, связанных с его осуществлением,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w:t>
            </w:r>
            <w:proofErr w:type="gramStart"/>
            <w:r>
              <w:rPr>
                <w:szCs w:val="16"/>
              </w:rPr>
              <w:t>утвержден</w:t>
            </w:r>
            <w:proofErr w:type="gramEnd"/>
            <w:r>
              <w:rPr>
                <w:szCs w:val="16"/>
              </w:rPr>
              <w:t xml:space="preserve"> в 2025 году, применяется с 01 января 2026 года):</w:t>
            </w:r>
          </w:p>
          <w:p w:rsidR="00E14DE7" w:rsidRDefault="00E14DE7" w:rsidP="00E14DE7">
            <w:pPr>
              <w:ind w:left="105"/>
            </w:pPr>
            <w:proofErr w:type="gramStart"/>
            <w:r>
              <w:rPr>
                <w:szCs w:val="16"/>
              </w:rPr>
              <w:t xml:space="preserve">•   Указание Банка России от 30.06.2025 N 7115-У «О порядке отражения на счетах бухгалтерского учета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отдельных объектов бухгалтерского учета, связанных с привлечением ими денежных средств по договорам займа, кредитным договорам, выпущенным облигациям и выданным векселям» (утвержден в 2025 году, применяется с 01 января 2026 года)</w:t>
            </w:r>
            <w:proofErr w:type="gramEnd"/>
          </w:p>
          <w:p w:rsidR="00E14DE7" w:rsidRDefault="00E14DE7" w:rsidP="00E14DE7">
            <w:pPr>
              <w:ind w:left="105"/>
            </w:pPr>
            <w:proofErr w:type="gramStart"/>
            <w:r>
              <w:rPr>
                <w:szCs w:val="16"/>
              </w:rPr>
              <w:t xml:space="preserve">•   Указание Банка России от 31.03.2025 N 7025-У «О порядке отражения на счетах бухгалтерского учета вознаграждений работникам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(вместе с «Типовыми бухгалтерскими записями для отражения на счетах бухгалтерского учета вознаграждений работникам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(утвержден в 2025 году, применяется с 01 января 2026 года)</w:t>
            </w:r>
            <w:proofErr w:type="gramEnd"/>
          </w:p>
          <w:p w:rsidR="00E14DE7" w:rsidRDefault="00E14DE7" w:rsidP="00E14DE7">
            <w:pPr>
              <w:ind w:left="105"/>
            </w:pPr>
            <w:r>
              <w:rPr>
                <w:szCs w:val="16"/>
              </w:rPr>
              <w:t xml:space="preserve">•   Указание Банка России от 31.03.2025 N 7026-У «О порядке отражения на счетах бухгалтерского учета хеджирования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r>
              <w:rPr>
                <w:szCs w:val="16"/>
              </w:rPr>
              <w:t xml:space="preserve">•   Указание Банка России от 31.03.2025 N 7027-У «О порядке отражения на счетах бухгалтерского учета производных инструментов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r>
              <w:rPr>
                <w:szCs w:val="16"/>
              </w:rPr>
              <w:t xml:space="preserve">•   Указание Банка России от 30.06.2025 N 7115-У «О порядке отражения на счетах бухгалтерского учета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отдельных объектов бухгалтерского учета, связанных с привлечением ими денежных средств по договорам займа, кредитным договорам, выпущенным облигациям и выданным векселям»</w:t>
            </w:r>
          </w:p>
          <w:p w:rsidR="00E14DE7" w:rsidRDefault="00E14DE7" w:rsidP="00E14DE7">
            <w:pPr>
              <w:ind w:left="105"/>
            </w:pPr>
            <w:r>
              <w:rPr>
                <w:szCs w:val="16"/>
              </w:rPr>
              <w:t xml:space="preserve">•   Указание Банка России от 30.06.2025 N 7117-У «О порядке отражения на счетах бухгалтерского учета договора доверительного управления имуществом и фактов хозяйственной жизни, связанных с его осуществлением,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r>
              <w:rPr>
                <w:szCs w:val="16"/>
              </w:rPr>
              <w:t xml:space="preserve">•   Указание Банка России от 30.06.2025 N 7117-У «О порядке отражения на счетах бухгалтерского учета договоров аренды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r>
              <w:rPr>
                <w:szCs w:val="16"/>
              </w:rPr>
              <w:t xml:space="preserve">•   Указание Банка России от 10.10.2025 N 7206-У «О порядке отражения на счетах бухгалтерского учета доходов и расходов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r>
              <w:rPr>
                <w:szCs w:val="16"/>
              </w:rPr>
              <w:t xml:space="preserve">•   Указание Банка России от 10.10.2025 N 7208-УО порядке отражения на счетах бухгалтерского учета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отдельных объектов бухгалтерского учета, связанных с предоставлением ими денежных средств по договорам займа и размещением ими денежных средств по договорам банковского вклада»</w:t>
            </w:r>
          </w:p>
          <w:p w:rsidR="00E14DE7" w:rsidRDefault="00E14DE7" w:rsidP="00E14DE7">
            <w:pPr>
              <w:ind w:left="105"/>
            </w:pPr>
            <w:r>
              <w:rPr>
                <w:szCs w:val="16"/>
              </w:rPr>
              <w:t xml:space="preserve">•    Указание Банка России от 10.10.2025 N 7209-У О порядке отражения на счетах бухгалтерского учета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 отдельных объектов бухгалтерского учета, связанных с ценными бумагами»</w:t>
            </w:r>
          </w:p>
          <w:p w:rsidR="00E14DE7" w:rsidRDefault="00E14DE7" w:rsidP="00E14DE7">
            <w:pPr>
              <w:ind w:left="105"/>
            </w:pPr>
            <w:r>
              <w:rPr>
                <w:szCs w:val="16"/>
              </w:rPr>
              <w:t xml:space="preserve">•   Указание Банка России от 10.10.2025 N 7210-У «О порядке отражения на счетах бухгалтерского учета отложенных налоговых обязательств и отложенных налоговых активов </w:t>
            </w:r>
            <w:proofErr w:type="spellStart"/>
            <w:r>
              <w:rPr>
                <w:szCs w:val="16"/>
              </w:rPr>
              <w:t>некредитными</w:t>
            </w:r>
            <w:proofErr w:type="spellEnd"/>
            <w:r>
              <w:rPr>
                <w:szCs w:val="16"/>
              </w:rPr>
              <w:t xml:space="preserve"> финансовыми организациями, бюро кредитных историй, кредитными рейтинговыми агентствами»</w:t>
            </w:r>
          </w:p>
          <w:p w:rsidR="00E14DE7" w:rsidRDefault="00E14DE7" w:rsidP="00E14DE7">
            <w:pPr>
              <w:ind w:left="105"/>
            </w:pPr>
            <w:proofErr w:type="gramStart"/>
            <w:r>
              <w:rPr>
                <w:szCs w:val="16"/>
              </w:rPr>
              <w:t xml:space="preserve">•   Положение Банка России от 10.10.25 №872-п «О порядке отражения на счетах бухгалтерского учета основных средств, инвестиционной недвижимости, нематериальных активов, долгосрочных активов, предназначенных для продажи, запасов, средств труда и предметов труда, полученных по договорам отступного, залога, назначение которых не определено, имущества и (или) его годных остатков, полученных в связи с отказом страхователя (выгодоприобретателя) от права собственности на застрахованное имущество, </w:t>
            </w:r>
            <w:proofErr w:type="spellStart"/>
            <w:r>
              <w:rPr>
                <w:szCs w:val="16"/>
              </w:rPr>
              <w:t>некредитными</w:t>
            </w:r>
            <w:proofErr w:type="spellEnd"/>
            <w:r>
              <w:rPr>
                <w:szCs w:val="16"/>
              </w:rPr>
              <w:t xml:space="preserve"> финансовыми</w:t>
            </w:r>
            <w:proofErr w:type="gramEnd"/>
            <w:r>
              <w:rPr>
                <w:szCs w:val="16"/>
              </w:rPr>
              <w:t xml:space="preserve"> организациями, бюро кредитных историй, кредитными рейтинговыми агентствами»</w:t>
            </w:r>
          </w:p>
          <w:p w:rsidR="00E14DE7" w:rsidRDefault="00E14DE7" w:rsidP="00E14DE7">
            <w:pPr>
              <w:ind w:left="105"/>
            </w:pPr>
            <w:r>
              <w:rPr>
                <w:szCs w:val="16"/>
              </w:rPr>
              <w:t>Общество не ожидает, что применение данных указаний окажет существенное влияние на ее бухгалтерскую (финансовую) отчетность</w:t>
            </w:r>
            <w:proofErr w:type="gramStart"/>
            <w:r>
              <w:rPr>
                <w:szCs w:val="16"/>
              </w:rPr>
              <w:t>."</w:t>
            </w:r>
            <w:proofErr w:type="gramEnd"/>
          </w:p>
        </w:tc>
      </w:tr>
    </w:tbl>
    <w:p w:rsidR="00E14DE7" w:rsidRDefault="00E14DE7" w:rsidP="00E14DE7">
      <w:r>
        <w:lastRenderedPageBreak/>
        <w:br w:type="page"/>
      </w:r>
    </w:p>
    <w:tbl>
      <w:tblPr>
        <w:tblStyle w:val="TableStyle10"/>
        <w:tblW w:w="10560" w:type="dxa"/>
        <w:tblInd w:w="57" w:type="dxa"/>
        <w:tblLayout w:type="fixed"/>
        <w:tblCellMar>
          <w:left w:w="57" w:type="dxa"/>
          <w:right w:w="57" w:type="dxa"/>
        </w:tblCellMar>
        <w:tblLook w:val="04A0" w:firstRow="1" w:lastRow="0" w:firstColumn="1" w:lastColumn="0" w:noHBand="0" w:noVBand="1"/>
      </w:tblPr>
      <w:tblGrid>
        <w:gridCol w:w="135"/>
        <w:gridCol w:w="735"/>
        <w:gridCol w:w="2490"/>
        <w:gridCol w:w="72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Номер показателя</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Наименование показателя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Текстовое пояснение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2</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III. Принципы учетной политики. Критерии признания и база оценки финансовых инструментов</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9</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Критерии признания и база оценки денежных средств. Компоненты денежных средств и их эквивалентов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Классификация активов Общества в категорию денежных средств и их эквивалентов осуществляется в соответствии с МСФО (IAS) 7. В категорию денежных средств и их эквивалентов Обществом классифицируются следующие активы: денежные средства на расчетных счетах, МНО, срок размещения которых составляет менее 90 календарных дней. </w:t>
            </w:r>
            <w:proofErr w:type="gramStart"/>
            <w:r>
              <w:rPr>
                <w:szCs w:val="16"/>
              </w:rPr>
              <w:t>Не включаются в категорию денежных средств и их эквивалентов следующие активы: денежные средства, размещенные по договору на поддержание минимального неснижаемого остатка (МНО) по расчетному счету, срок действия которого составляет более 90 календарных дней (в целях составления отчетности указанные активы отражаются в составе депозитов и прочих размещенных средств в кредитных организациях и банках-нерезидентах), Денежные средства и их эквиваленты оцениваются по амортизированной</w:t>
            </w:r>
            <w:proofErr w:type="gramEnd"/>
            <w:r>
              <w:rPr>
                <w:szCs w:val="16"/>
              </w:rPr>
              <w:t xml:space="preserve"> стоимости. В соответствии учетной политикой Общество формирует и пересматривает резерв под обесценение денежных средств и их эквивалентов на каждую отчетную дату - ежемесячно.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10</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Критерии признания и база оценки средств, размещенных в кредитных организациях и банках-нерезидентах</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При первоначальном признании депозиты и прочие размещенные средства в кредитных организациях и банках-нерезидентах оцениваются по справедливой  стоимости. Справедливой стоимостью депозитов в кредитных организациях является сумма </w:t>
            </w:r>
            <w:proofErr w:type="spellStart"/>
            <w:r>
              <w:rPr>
                <w:szCs w:val="16"/>
              </w:rPr>
              <w:t>договора</w:t>
            </w:r>
            <w:proofErr w:type="gramStart"/>
            <w:r>
              <w:rPr>
                <w:szCs w:val="16"/>
              </w:rPr>
              <w:t>.В</w:t>
            </w:r>
            <w:proofErr w:type="spellEnd"/>
            <w:proofErr w:type="gramEnd"/>
            <w:r>
              <w:rPr>
                <w:szCs w:val="16"/>
              </w:rPr>
              <w:t xml:space="preserve"> качестве рыночной процентной ставки Общество использует следующие процентные ставки:• по договорам банковского вклада средневзвешенные процентные ставки по привлеченным кредитными организациями депозитам от нефинансовых организаций в рублях или иностранной валюте, на сопоставимых по срокам договора условиях. Источником является Бюллетень банковской статистики, публикуемый на сайте Банка России (http://www.cbr.ru/publ/)</w:t>
            </w:r>
            <w:proofErr w:type="gramStart"/>
            <w:r>
              <w:rPr>
                <w:szCs w:val="16"/>
              </w:rPr>
              <w:t>.</w:t>
            </w:r>
            <w:proofErr w:type="gramEnd"/>
            <w:r>
              <w:rPr>
                <w:szCs w:val="16"/>
              </w:rPr>
              <w:t xml:space="preserve">• </w:t>
            </w:r>
            <w:proofErr w:type="gramStart"/>
            <w:r>
              <w:rPr>
                <w:szCs w:val="16"/>
              </w:rPr>
              <w:t>п</w:t>
            </w:r>
            <w:proofErr w:type="gramEnd"/>
            <w:r>
              <w:rPr>
                <w:szCs w:val="16"/>
              </w:rPr>
              <w:t>о договорам займа средневзвешенные процентные ставки по предоставленным кредитными организациями кредитам нефинансовым организациям в рублях или иностранной валюте, на сопоставимых по срокам договора условиях. Источником является Бюллетень банковской статистики, публикуемый на сайте Банка России (http://www.cbr.ru/publ/)</w:t>
            </w:r>
            <w:proofErr w:type="gramStart"/>
            <w:r>
              <w:rPr>
                <w:szCs w:val="16"/>
              </w:rPr>
              <w:t>.</w:t>
            </w:r>
            <w:proofErr w:type="gramEnd"/>
            <w:r>
              <w:rPr>
                <w:szCs w:val="16"/>
              </w:rPr>
              <w:t xml:space="preserve">• </w:t>
            </w:r>
            <w:proofErr w:type="gramStart"/>
            <w:r>
              <w:rPr>
                <w:szCs w:val="16"/>
              </w:rPr>
              <w:t>п</w:t>
            </w:r>
            <w:proofErr w:type="gramEnd"/>
            <w:r>
              <w:rPr>
                <w:szCs w:val="16"/>
              </w:rPr>
              <w:t xml:space="preserve">ри отсутствии на дату определения рыночной процентной ставки статистических данных Банка России, за рыночную ставку принимаются процентные ставки за последний месяц, по которому имеется доступная </w:t>
            </w:r>
            <w:proofErr w:type="spellStart"/>
            <w:r>
              <w:rPr>
                <w:szCs w:val="16"/>
              </w:rPr>
              <w:t>информацияПо</w:t>
            </w:r>
            <w:proofErr w:type="spellEnd"/>
            <w:r>
              <w:rPr>
                <w:szCs w:val="16"/>
              </w:rPr>
              <w:t xml:space="preserve"> договорам займа и договорам банковского вклада дисконтирование (метод ЭСП) не применяется Обществом в следующих случаях:• по договорам займа и </w:t>
            </w:r>
            <w:proofErr w:type="gramStart"/>
            <w:r>
              <w:rPr>
                <w:szCs w:val="16"/>
              </w:rPr>
              <w:t>договорам банковского вклада, срок действия которых менее одного года при их первоначальном признании, включая займы и банковские вклады, дата погашения которых приходится на другой отчетный год, и если разница между амортизированной стоимостью, рассчитанной с использованием метода ЭСП, и амортизированной стоимостью, рассчитанной с использованием линейного метода признания процентного дохода, несущественна - не превышает 5%;</w:t>
            </w:r>
            <w:proofErr w:type="gramEnd"/>
            <w:r>
              <w:rPr>
                <w:szCs w:val="16"/>
              </w:rPr>
              <w:t xml:space="preserve"> • по договорам банковского вклада сроком «до востребования»;• по пролонгированным на аналогичный срок (до 12 месяцев) краткосрочным на дату первоначального признания договорам займа и банковского вклада, по которым ранее не применялся метод </w:t>
            </w:r>
            <w:proofErr w:type="spellStart"/>
            <w:r>
              <w:rPr>
                <w:szCs w:val="16"/>
              </w:rPr>
              <w:t>ЭСП</w:t>
            </w:r>
            <w:proofErr w:type="gramStart"/>
            <w:r>
              <w:rPr>
                <w:szCs w:val="16"/>
              </w:rPr>
              <w:t>.О</w:t>
            </w:r>
            <w:proofErr w:type="gramEnd"/>
            <w:r>
              <w:rPr>
                <w:szCs w:val="16"/>
              </w:rPr>
              <w:t>бщество</w:t>
            </w:r>
            <w:proofErr w:type="spellEnd"/>
            <w:r>
              <w:rPr>
                <w:szCs w:val="16"/>
              </w:rPr>
              <w:t xml:space="preserve"> формирует резерв под обесценение депозитов и прочих размещенных средствах в кредитных организациях ежеквартально.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финансовых активов, оцениваемых по справедливой стоимости через прибыль или убыток</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активы, учитываемые по справедливой стоимости через прибыль и убыток.</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финансовых активов, оцениваемых по справедливой стоимости через прочий совокупный доход</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активы, учитываемые по справедливой стоимости через прочий совокупный доход.</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финансовых активов, оцениваемых по амортизированной стоимости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Финансовыми активами, оцениваемыми по амортизированной стоимости Общество признает инвестиции, удерживаемые до срока погашения, которые представляют собой непроизводные финансовые активы с фиксированными или определенными платежами и фиксированным сроком погашения, которые Общество намерено и </w:t>
            </w:r>
            <w:proofErr w:type="spellStart"/>
            <w:r>
              <w:rPr>
                <w:szCs w:val="16"/>
              </w:rPr>
              <w:t>способено</w:t>
            </w:r>
            <w:proofErr w:type="spellEnd"/>
            <w:r>
              <w:rPr>
                <w:szCs w:val="16"/>
              </w:rPr>
              <w:t xml:space="preserve"> удерживать до наступления срока погашения, за исключением тех, которые:- соответствуют определению депозитов и дебиторской </w:t>
            </w:r>
            <w:proofErr w:type="spellStart"/>
            <w:r>
              <w:rPr>
                <w:szCs w:val="16"/>
              </w:rPr>
              <w:t>задолженности</w:t>
            </w:r>
            <w:proofErr w:type="gramStart"/>
            <w:r>
              <w:rPr>
                <w:szCs w:val="16"/>
              </w:rPr>
              <w:t>.А</w:t>
            </w:r>
            <w:proofErr w:type="gramEnd"/>
            <w:r>
              <w:rPr>
                <w:szCs w:val="16"/>
              </w:rPr>
              <w:t>мортизированной</w:t>
            </w:r>
            <w:proofErr w:type="spellEnd"/>
            <w:r>
              <w:rPr>
                <w:szCs w:val="16"/>
              </w:rPr>
              <w:t xml:space="preserve"> стоимостью депозитов, признается сумма, в которой денежные средства оцениваются при первоначальном </w:t>
            </w:r>
            <w:proofErr w:type="gramStart"/>
            <w:r>
              <w:rPr>
                <w:szCs w:val="16"/>
              </w:rPr>
              <w:t>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(далее – ЭСП) амортизации разницы между первоначальной стоимостью и суммой погашения, а также за вычетом суммы созданного резерва под обесценение.</w:t>
            </w:r>
            <w:proofErr w:type="gramEnd"/>
            <w:r>
              <w:rPr>
                <w:szCs w:val="16"/>
              </w:rPr>
              <w:t xml:space="preserve"> Последующая оценка финансовых активов, квалифицированных как оцениваемые по амортизированной стоимости по срокам выдачи более 1 года осуществляется с использованием метода эффективной ставки процента. По депозитам, размещенным на срок меньше 1 года, процентный доход рассчитывается с применением номинальной ставки, установленной в договоре.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14</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инвестиций в дочерние и ассоциированные организации, совместные предприятия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инвестиций в дочерние, совместно контролируемые и ассоциированные предприятия.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15</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прочих финансовых активов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Прочие активы учитываются по первоначальной стоимости в размере фактических затрат на их приобретение и не подлежат последующей переоценке по справедливой стоимости после их первоначального признания.</w:t>
            </w:r>
          </w:p>
        </w:tc>
      </w:tr>
    </w:tbl>
    <w:p w:rsidR="00E14DE7" w:rsidRDefault="00E14DE7" w:rsidP="00E14DE7">
      <w:r>
        <w:br w:type="page"/>
      </w:r>
    </w:p>
    <w:tbl>
      <w:tblPr>
        <w:tblStyle w:val="TableStyle10"/>
        <w:tblW w:w="10560" w:type="dxa"/>
        <w:tblInd w:w="57" w:type="dxa"/>
        <w:tblLayout w:type="fixed"/>
        <w:tblCellMar>
          <w:left w:w="57" w:type="dxa"/>
          <w:right w:w="57" w:type="dxa"/>
        </w:tblCellMar>
        <w:tblLook w:val="04A0" w:firstRow="1" w:lastRow="0" w:firstColumn="1" w:lastColumn="0" w:noHBand="0" w:noVBand="1"/>
      </w:tblPr>
      <w:tblGrid>
        <w:gridCol w:w="135"/>
        <w:gridCol w:w="735"/>
        <w:gridCol w:w="2490"/>
        <w:gridCol w:w="72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Номер показателя</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Наименование показателя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Текстовое пояснение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2</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Cs w:val="16"/>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16</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финансовых обязательств, оцениваемых по справедливой стоимости через прибыль или убыток</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обязательства, учитываемые по справедливой стоимости через прибыль и убыток</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17</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финансовых обязательств, оцениваемых по амортизированной стоимости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После первоначального признания Общество учитывает все финансовые обязательства по амортизированной стоимости. Под амортизированной стоимостью финансового обязательства понимается величина, по которой финансовое обязательство оценивается при первоначальном признании, за вычетом выплат в погашения финансового </w:t>
            </w:r>
            <w:proofErr w:type="spellStart"/>
            <w:r>
              <w:rPr>
                <w:szCs w:val="16"/>
              </w:rPr>
              <w:t>обязательства</w:t>
            </w:r>
            <w:proofErr w:type="gramStart"/>
            <w:r>
              <w:rPr>
                <w:szCs w:val="16"/>
              </w:rPr>
              <w:t>.О</w:t>
            </w:r>
            <w:proofErr w:type="gramEnd"/>
            <w:r>
              <w:rPr>
                <w:szCs w:val="16"/>
              </w:rPr>
              <w:t>бязательства</w:t>
            </w:r>
            <w:proofErr w:type="spellEnd"/>
            <w:r>
              <w:rPr>
                <w:szCs w:val="16"/>
              </w:rPr>
              <w:t xml:space="preserve"> Общества не подлежат </w:t>
            </w:r>
            <w:proofErr w:type="spellStart"/>
            <w:r>
              <w:rPr>
                <w:szCs w:val="16"/>
              </w:rPr>
              <w:t>реклассификации</w:t>
            </w:r>
            <w:proofErr w:type="spellEnd"/>
            <w:r>
              <w:rPr>
                <w:szCs w:val="16"/>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18</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проведения взаимозачетов финансовых активов и финансовых обязательств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Финансовые активы и обязательства </w:t>
            </w:r>
            <w:proofErr w:type="spellStart"/>
            <w:r>
              <w:rPr>
                <w:szCs w:val="16"/>
              </w:rPr>
              <w:t>взаимозачитываются</w:t>
            </w:r>
            <w:proofErr w:type="spellEnd"/>
            <w:r>
              <w:rPr>
                <w:szCs w:val="16"/>
              </w:rPr>
              <w:t xml:space="preserve"> и в отчете о финансовом положении отражается чистая величина только в тех случаях, когда существует законодательно установленное право произвести взаимозачет отраженных сумм, а также намерение либо произвести взаимозачет, либо одновременно реализовать актив и урегулировать обязательство.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IV. Порядок признания и последующего учета хеджирования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19</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Хеджирование денежных потоков (описание типа хеджирования, характер хеджируемых рисков, описание финансовых инструментов, признанных инструментами хеджирования)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Общество не проводит операций хеджирования.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20</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Хеджирование справедливой стоимости (описание типа хеджирования, характер хеджируемых рисков, описание финансовых инструментов, признанных инструментами хеджирования)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Общество не проводит операций хеджирования.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Хеджирование чистых инвестиций в иностранные подразделения (описание типа хеджирования, характер хеджируемых рисков, описание финансовых инструментов, признанных инструментами хеджирования)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Общество не проводит операций хеджирования.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V. Критерии признания и база оценки инвестиционного имущества</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Применяемая модель учета инвестиционного имущества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операции с инвестиционным имуществом</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Критерии, используемые организацией в целях проведения различия между инвестиционным имуществом и объектами собственности, занимаемыми организацией, а также имуществом, предназначенным для продажи в ходе обычной деятельности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операции с инвестиционным имуществом</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24</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Степень, в которой справедливая стоимость инвестиционного имущества (измеренная или раскрытая в бухгалтерской (финансовой) отчетности) основана на оценке, произведенной независимым оценщиком, обладающим опытом проведения оценки сопоставимых объектов оценки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отсутствуют операции с инвестиционным имуществом</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VI. Критерии признания и база оценки основных средств</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25</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Критерии признания, способы, используемые для оценки основных средств (для каждой группы основных средств)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"Объекты основных средств Общества оцениваются по первоначальной стоимости за вычетом амортизации и накопленных убытков от обесценения.</w:t>
            </w:r>
          </w:p>
          <w:p w:rsidR="00E14DE7" w:rsidRDefault="00E14DE7" w:rsidP="00E14DE7">
            <w:pPr>
              <w:ind w:left="105"/>
            </w:pPr>
            <w:r>
              <w:rPr>
                <w:szCs w:val="16"/>
              </w:rPr>
              <w:t>В Обществе используется следующая классификация схожих по характеру и использованию основных средств (выделяются следующие однородные группы основных средств): Земельные участки; Здания и сооружения; Транспортные средства; Мебель; Офисное оборудование; Компьютеры и вычислительная техника; Прочий инвентарь Стоимость объекта учета, подлежащего признанию в качестве инвентарного объекта, составляет более 100 000 рублей.  Объекты учета стоимостью менее 100 000 рублей отражаются в составе запасов</w:t>
            </w:r>
            <w:proofErr w:type="gramStart"/>
            <w:r>
              <w:rPr>
                <w:szCs w:val="16"/>
              </w:rPr>
              <w:t>."</w:t>
            </w:r>
            <w:proofErr w:type="gramEnd"/>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26</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Способ переноса прироста стоимости основных сре</w:t>
            </w:r>
            <w:proofErr w:type="gramStart"/>
            <w:r>
              <w:rPr>
                <w:szCs w:val="16"/>
              </w:rPr>
              <w:t>дств пр</w:t>
            </w:r>
            <w:proofErr w:type="gramEnd"/>
            <w:r>
              <w:rPr>
                <w:szCs w:val="16"/>
              </w:rPr>
              <w:t xml:space="preserve">и переоценке, признанного в составе капитала (накопленной </w:t>
            </w:r>
            <w:proofErr w:type="spellStart"/>
            <w:r>
              <w:rPr>
                <w:szCs w:val="16"/>
              </w:rPr>
              <w:t>дооценки</w:t>
            </w:r>
            <w:proofErr w:type="spellEnd"/>
            <w:r>
              <w:rPr>
                <w:szCs w:val="16"/>
              </w:rPr>
              <w:t>), на нераспределенную прибыль</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27</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Применяемые методы амортизации и порядок оценки ликвидационной стоимости (для каждой группы основных средств) и их изменения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В Обществе применяется линейный способ начисления амортизации по всем группам основных средств.</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28</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Применяемые сроки полезного использования (для каждой группы основных средств) и их изменения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Срок полезного использования объектов основных средств Общество определяет самостоятельно (на дату готовности к использованию) на основании профессионального суждения о предполагаемом сроке использования объекта основных средств. Срок полезного использования начинается с даты, когда объект становится доступен к использованию.  Срок полезного использования устанавливается в месяцах и пересчитывается в фактические календарные дни. Срок полезного использования начинается с даты, следующей за датой признания объекта готовым к использованию (ст.191 ГК РФ).</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VII. Критерии признания и база оценки нематериальных активов</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29</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Критерии признания нематериальных активов (для каждой группы нематериальных активов)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Нематериальным активом (далее - НМА) признается объект, одновременно удовлетворяющий следующим условиям: объект способен приносить экономические выгоды в будущем, в частности, объект предназначен для использования при выполнении работ, оказании услуг либо в административных целях или для управленческих нужд; Общество имеет право на получение экономических выгод от использования объекта в будущем. Право Общества на получение экономических выгод от использования объекта в будущем может быль подтверждено наличием надлежаще оформленных документов, подтверждающих существование самого актива и права Общества на результаты интеллектуальной деятельности или приравненные к ним средства индивидуализации (далее </w:t>
            </w:r>
            <w:proofErr w:type="gramStart"/>
            <w:r>
              <w:rPr>
                <w:szCs w:val="16"/>
              </w:rPr>
              <w:t>-с</w:t>
            </w:r>
            <w:proofErr w:type="gramEnd"/>
            <w:r>
              <w:rPr>
                <w:szCs w:val="16"/>
              </w:rPr>
              <w:t xml:space="preserve">редства индивидуализации); имеются ограничения доступа иных лиц к экономическим выгодам от использования объекта (Общество имеет контроль над объектом); объект может быть идентифицирован (возможность выделения или отделения от других активов); объект предназначен для использования в течение более чем 12 месяцев; объект не имеет    материально-вещественной формы; первоначальная стоимость объекта может быть надежно определена. </w:t>
            </w:r>
            <w:proofErr w:type="gramStart"/>
            <w:r>
              <w:rPr>
                <w:szCs w:val="16"/>
              </w:rPr>
              <w:t>Минимальная стоимость объекта учета, подлежащего признанию в качестве нематериального актива, составляет 100 000 руб. К нематериальным активам относятся, в том числе следующие активы: лицензии на программные продукты (права пользования программными продуктами); программное обеспечение (в том числе, на которое Общество не обладает исключительными правами), расхода на его внедрение; создание баз данных, сайтов и т.п.</w:t>
            </w:r>
            <w:proofErr w:type="gramEnd"/>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30</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Способы, используемые для оценки приобретенных и самостоятельно созданных нематериальных активов (для каждой группы нематериальных активов)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Нематериальные активы Общества оцениваются по первоначальной стоимости за вычетом амортизации и накопленных убытков от обесценения.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Способ переноса прироста стоимости нематериальных активов при переоценке, признанного в составе капитала (накопленной </w:t>
            </w:r>
            <w:proofErr w:type="spellStart"/>
            <w:r>
              <w:rPr>
                <w:szCs w:val="16"/>
              </w:rPr>
              <w:t>дооценки</w:t>
            </w:r>
            <w:proofErr w:type="spellEnd"/>
            <w:r>
              <w:rPr>
                <w:szCs w:val="16"/>
              </w:rPr>
              <w:t>), на нераспределенную прибыль</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Раскрытие для каждой группы нематериальных активов с неопределенным сроком полезного использования факта ежегодного тестирования на обесценение, информации о наличии возможных признаков обесценения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 нематериальным активам с неопределенным сроком полезного использования амортизация не начисляется. Проверка на обесценение таких активов включает в себя выявление следующих признаков возможного обесценения: существуют признаки устаревания; простои актива (неиспользования); планы по прекращению или реструктуризации деятельности, к которой используется актив. При наличии признаков возможного обесценения актива Общество определяет возмещаемую стоимость НМА как справедливую стоимость за вычетом затрат на выбытие или ценность использования в зависимости от того, которая из данных величин больше. В случае если возмещаемая стоимость НМА меньше балансовой стоимости этого НМА, балансовая стоимость НМА уменьшается до его возмещаемой стоимости. Такое уменьшение является убытком от обесценения.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Применяемые сроки полезного использования и методы амортизации для нематериальных активов с ограниченным сроком полезного использования, порядок оценки ликвидационной стоимости и их изменения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В Обществе применяется линейный способ начисления амортизации по всем нематериальным активам с ограниченным сроком использования. </w:t>
            </w:r>
            <w:proofErr w:type="gramStart"/>
            <w:r>
              <w:rPr>
                <w:szCs w:val="16"/>
              </w:rPr>
              <w:t xml:space="preserve">Срок полезного использования нематериальных активов определяется Обществом в месяцах на дату признания нематериального актива (передачи нематериального актива для использования в соответствии с намерениями руководства </w:t>
            </w:r>
            <w:proofErr w:type="spellStart"/>
            <w:r>
              <w:rPr>
                <w:szCs w:val="16"/>
              </w:rPr>
              <w:t>некредитной</w:t>
            </w:r>
            <w:proofErr w:type="spellEnd"/>
            <w:r>
              <w:rPr>
                <w:szCs w:val="16"/>
              </w:rPr>
              <w:t xml:space="preserve"> финансовой организации) исходя из: срока действия прав Общества на результат интеллектуальной деятельности или средство индивидуализации и периода контроля над нематериальным активом; ожидаемого срока использования нематериального актива, в течение которого Общество предполагает получать экономические выгоды.</w:t>
            </w:r>
            <w:proofErr w:type="gramEnd"/>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34</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учета затрат на создание нематериальных активов собственными силами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Затраты, произведенные Обществом на стадии исследований при создании нематериального актива, не подлежат признанию в составе первоначальной стоимости нематериального актива, а признаются в качестве расходов на дату их возникновения. Затраты Общества на стадии разработки нематериального актива подлежат признанию в составе первоначальной стоимости нематериального актива при следующих условиях; Общество намерено завершить создание нематериального актива и использовать его в своей деятельности; нематериальный актив будет создавать будущие экономические выгоды; Общество располагает ресурсами (техническими, финансовыми, прочими) для завершения разработки и использования нематериального актива; Общество может продемонстрировать техническую осуществимость завершения создания нематериального актива; Общество способно надежно оценить затраты, относящиеся к нематериальному активу в процессе его разработки.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VIII. Порядок признания и последующего учета вознаграждений работникам и связанных с ними отчислений</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35</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расходов, связанных с начислением заработной платы, включая компенсационные и стимулирующие выплаты, выплат по отпускам, пособий по временной нетрудоспособности и уходу за ребенком, выходных пособий</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Вознаграждения работникам включают следующие виды: краткосрочные вознаграждения работникам. При признании обязательств по выплате краткосрочных вознаграждений работникам Общества одновременно признаются обязательства по оплате страховых взносов, которые возникают (возникнут) при фактическом исполнении обязательств по выплате вознаграждений работникам в соответствии с законодательством Российской Федерации. Начисление обязательств по оплате ежегодного оплачиваемого отпуска, в том числе обязательств по оплате взносов на социальное страхование, производится ежеквартально на последний календарный день месяца.   Обязательства по выплате вознаграждений работникам по окончании трудовой деятельности в виде единовременного пособия </w:t>
            </w:r>
            <w:proofErr w:type="gramStart"/>
            <w:r>
              <w:rPr>
                <w:szCs w:val="16"/>
              </w:rPr>
              <w:t>работникам, уволившимся по собственному желанию при выходе на пенсию признаются</w:t>
            </w:r>
            <w:proofErr w:type="gramEnd"/>
            <w:r>
              <w:rPr>
                <w:szCs w:val="16"/>
              </w:rPr>
              <w:t xml:space="preserve"> в сумме единовременного вознаграждения, подлежащего выплате работнику в соответствии с условиями Положения.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36</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Описание пенсионных планов с установленными выплатами, реализуемых организацией</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 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37</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Использование метода дисконтированной стоимости для определения размера обязательства по пенсионному обеспечению и соответствующей стоимости вклада работников в отношении текущего периода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 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38</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отражения в бухгалтерской (финансовой) отчетности вознаграждений работникам по окончании трудовой деятельности, не ограниченных фиксируемыми платежами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 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IX. Порядок признания и последующего учета договоров аренды</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39</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последующего учета, прекращения признания договоров аренды</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Учет договоров аренды осуществляется в соответствии с требованиями Положения Банка России от 22.03.2018 № 635-П «О порядке отражения на счетах бухгалтерского учета договоров аренды </w:t>
            </w:r>
            <w:proofErr w:type="spellStart"/>
            <w:r>
              <w:rPr>
                <w:szCs w:val="16"/>
              </w:rPr>
              <w:t>некредитными</w:t>
            </w:r>
            <w:proofErr w:type="spellEnd"/>
            <w:r>
              <w:rPr>
                <w:szCs w:val="16"/>
              </w:rPr>
              <w:t xml:space="preserve"> финансовыми организациями», Учетной политикой и МСФО (IAS) 16 «Аренда». Для проверки объекта аренды  по договору аренды на обесценение применяется МСФО (IAS) 36 «Обесценение активов». Актив в форме права пользования и обязательство по договору аренды признаются Обществом - арендатором на дату начала аренды. Срок аренды, используемый для расчета активов и обязательств по аренде офисных помещений, является оценочным параметром и при его пересмотре соответствующим образом будут скорректированы будущие денежные потоки, учитываемые при оценке обязательств по аренде. Арендные платежи дисконтируются с использованием процентной ставки, определяемой обслуживающим банком Общества, как ставки привлечения дополнительных заемных средств. При невозможности получить размер ставки, установленной обслуживающим банком, Общество использует доступную информацию по ставкам заимствования кредитных средств. При этом отложенные налоговые обязательства и отложенные налоговые активы, определенные на конец отчетного года, подлежат отражению на счетах бухгалтерского учета в период между окончанием отчетного года и датой составления годовой бухгалтерской (финансовой) отчетности.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40</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Факт использования организацией - арендатором права не признавать активы в форме права пользования и обязательства по договорам аренды с описанием характера договоров аренды, в отношении которых указанное право применяется</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"Общество вправе принять решение о не признании  актива в форме права пользования и обязательства по аренде в отношении следующих позиций:</w:t>
            </w:r>
          </w:p>
          <w:p w:rsidR="00E14DE7" w:rsidRDefault="00E14DE7" w:rsidP="00E14DE7">
            <w:pPr>
              <w:ind w:left="105"/>
            </w:pPr>
            <w:r>
              <w:rPr>
                <w:szCs w:val="16"/>
              </w:rPr>
              <w:t>- Договор аренды, по которому на дату начала аренды предусмотренный срок аренды составляет не более 12 месяцев</w:t>
            </w:r>
          </w:p>
          <w:p w:rsidR="00E14DE7" w:rsidRDefault="00E14DE7" w:rsidP="00E14DE7">
            <w:pPr>
              <w:ind w:left="105"/>
            </w:pPr>
            <w:r>
              <w:rPr>
                <w:szCs w:val="16"/>
              </w:rPr>
              <w:t>- Аренда, в которой базовый актив имеет низкую стоимость, при этом под низкой стоимостью признается стоимость актива менее 300 000 руб. учитываемая на балансе арендодателя без учета амортизации или стоимость нового имущества имеющего аналогичные параметры</w:t>
            </w:r>
          </w:p>
          <w:p w:rsidR="00E14DE7" w:rsidRDefault="00E14DE7" w:rsidP="00E14DE7">
            <w:pPr>
              <w:ind w:left="105"/>
            </w:pPr>
            <w:r>
              <w:rPr>
                <w:szCs w:val="16"/>
              </w:rPr>
              <w:t>В таком случае, Общество признает арендные платежи по такой аренде в качестве расхода линейным методом.</w:t>
            </w:r>
          </w:p>
          <w:p w:rsidR="00E14DE7" w:rsidRDefault="00E14DE7" w:rsidP="00E14DE7">
            <w:pPr>
              <w:ind w:left="105"/>
            </w:pPr>
            <w:r>
              <w:rPr>
                <w:szCs w:val="16"/>
              </w:rPr>
              <w:t>В отчетном периоде года такое решение не принималось</w:t>
            </w:r>
            <w:proofErr w:type="gramStart"/>
            <w:r>
              <w:rPr>
                <w:szCs w:val="16"/>
              </w:rPr>
              <w:t>."</w:t>
            </w:r>
            <w:proofErr w:type="gramEnd"/>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расчета негарантированной ликвидационной стоимости предмета аренды</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Неприменимо</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Основание и порядок расчета процентной ставки по договору аренды</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Арендные платежи дисконтируются с использованием процентной ставки, заложенной в договоре. При невозможности расчета предусмотренной в договоре аренды процентной ставки используется средневзвешенная процентная ставка по кредитам, предоставленным кредитными организациями нефинансовым организациям в рублях, публикуемая на официальном сайте Банка России.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Допущения, использованные при определении переменных арендных платежей</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Не имеются</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p>
        </w:tc>
        <w:tc>
          <w:tcPr>
            <w:tcW w:w="96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b/>
                <w:szCs w:val="16"/>
              </w:rPr>
              <w:t>Раздел X. Критерии признания, база оценки и порядок учета других объектов бухгалтерского учета</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44</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активов (активов выбывающих групп), классифицированных как предназначенные для продажи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долгосрочных активов, предназначенных для продажи, осуществляется в соответствии с МСФО (IFRS) 5, ОСБУ 492-П и Учетной политикой Общества.</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45</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запасов. Порядок учета запасов, предназначенных для управленческих нужд</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запасов, осуществляется в соответствии с МСФО (IFRS) 2, ОСБУ 492-П и Учетной политикой Общества.</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46</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резервов - оценочных обязательств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последующего учета резервов - оценочных обязательств осуществляется в соответствии с МСФО (IAS) 37, ОСБУ 6889-П и Учетной политикой Общества.</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47</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последующего учета, прекращения признания кредиторской задолженности</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Кредиторская задолженность  учитывается по методу начисления и отражается по амортизированной стоимости, если иное не требуется в соответствии с МСФО (IFRS) 9.</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48</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оценки уставного и добавочного капитала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Для целей бухгалтерской (финансовой) отчетности уставный капитал и нераспределенная прибыль Общества </w:t>
            </w:r>
            <w:proofErr w:type="spellStart"/>
            <w:r>
              <w:rPr>
                <w:szCs w:val="16"/>
              </w:rPr>
              <w:t>квалифицированны</w:t>
            </w:r>
            <w:proofErr w:type="spellEnd"/>
            <w:r>
              <w:rPr>
                <w:szCs w:val="16"/>
              </w:rPr>
              <w:t xml:space="preserve"> как элементы капитала. Уставный капитал был сформирован и оплачен за счет вклада участника  в российских рублях. Уставный капитал не дисконтируется и не подлежит переоценке. Добавочный капитал формируется из взносов акционеров, эмиссионного дохода, прироста стоимости имущества при переоценке.</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49</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оценки собственных акций (долей), принадлежащих обществу</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У Общества отсутствуют собственные выкупленные доли.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50</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и оценки резервного капитала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"Общество вправе образовывать </w:t>
            </w:r>
            <w:proofErr w:type="gramStart"/>
            <w:r>
              <w:rPr>
                <w:szCs w:val="16"/>
              </w:rPr>
              <w:t>резервный</w:t>
            </w:r>
            <w:proofErr w:type="gramEnd"/>
            <w:r>
              <w:rPr>
                <w:szCs w:val="16"/>
              </w:rPr>
              <w:t xml:space="preserve"> и другие фонды. Размер резервного фонда, размер и перечень иных фондов, а также порядок и размеры отчислений в них определяется Общим собранием участников в порядке и на условиях, установленных Уставом и действующим законодательством Российской Федерации</w:t>
            </w:r>
          </w:p>
          <w:p w:rsidR="00E14DE7" w:rsidRDefault="00E14DE7" w:rsidP="00E14DE7">
            <w:pPr>
              <w:ind w:left="105"/>
            </w:pPr>
            <w:r>
              <w:rPr>
                <w:szCs w:val="16"/>
              </w:rPr>
              <w:t xml:space="preserve">В отчетном периоде решение о формировании </w:t>
            </w:r>
            <w:proofErr w:type="gramStart"/>
            <w:r>
              <w:rPr>
                <w:szCs w:val="16"/>
              </w:rPr>
              <w:t>резервного</w:t>
            </w:r>
            <w:proofErr w:type="gramEnd"/>
            <w:r>
              <w:rPr>
                <w:szCs w:val="16"/>
              </w:rPr>
              <w:t xml:space="preserve"> капитал не принималось."</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51</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оценки, последующего учета, прекращения признания отложенного налогового актива и отложенного налогового обязательства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 xml:space="preserve">"Учет отложенных налоговых обязательств и отложенных налоговых активов осуществляется в соответствии с Положением Банка России от 04.09.2015 № 490-П «Отраслевой стандарт бухгалтерского учета отложенных налоговых обязательств и отложенных налоговых активов </w:t>
            </w:r>
            <w:proofErr w:type="spellStart"/>
            <w:r>
              <w:rPr>
                <w:szCs w:val="16"/>
              </w:rPr>
              <w:t>некредитными</w:t>
            </w:r>
            <w:proofErr w:type="spellEnd"/>
            <w:r>
              <w:rPr>
                <w:szCs w:val="16"/>
              </w:rPr>
              <w:t xml:space="preserve"> финансовыми организациями», Учетной политикой и МСФО (IAS) 12 «Налоги на прибыль».</w:t>
            </w:r>
          </w:p>
          <w:p w:rsidR="00E14DE7" w:rsidRDefault="00E14DE7" w:rsidP="00E14DE7">
            <w:pPr>
              <w:ind w:left="105"/>
            </w:pPr>
            <w:r>
              <w:rPr>
                <w:szCs w:val="16"/>
              </w:rPr>
              <w:t>Отложенные налоговые активы и обязательства отражаются последним календарным днем отчетного периода (1 квартала, полугодия, 9 месяцев).</w:t>
            </w:r>
          </w:p>
          <w:p w:rsidR="00E14DE7" w:rsidRDefault="00E14DE7" w:rsidP="00E14DE7">
            <w:pPr>
              <w:ind w:left="105"/>
            </w:pPr>
            <w:r>
              <w:rPr>
                <w:szCs w:val="16"/>
              </w:rPr>
              <w:t>При этом отложенные налоговые обязательства и отложенные налоговые активы, определенные на конец отчетного года, подлежат отражению на счетах бухгалтерского учета в период между окончанием отчетного года и датой составления годовой бухгалтерской (финансовой) отчетности</w:t>
            </w:r>
            <w:proofErr w:type="gramStart"/>
            <w:r>
              <w:rPr>
                <w:szCs w:val="16"/>
              </w:rPr>
              <w:t>."</w:t>
            </w:r>
            <w:proofErr w:type="gramEnd"/>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52</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отражения дивидендов</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Дивиденды отражаются в отчетности в том периоде, в котором они были объявлены и надлежащим образом одобрены. Обязательство на конец отчетного периода не признается, если дивиденды объявлены после окончания отчетного периода. При этом если дивиденды объявлены до утверждения финансовой отчетности к выпуску, такие дивиденды раскрываются в примечаниях к финансовой отчетности.</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Cs w:val="16"/>
              </w:rPr>
              <w:t>53</w:t>
            </w:r>
          </w:p>
        </w:tc>
        <w:tc>
          <w:tcPr>
            <w:tcW w:w="2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оценки и последующего учета прочих объектов бухгалтерского учета</w:t>
            </w:r>
          </w:p>
        </w:tc>
        <w:tc>
          <w:tcPr>
            <w:tcW w:w="72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Cs w:val="16"/>
              </w:rPr>
              <w:t>Порядок признания, оценки и последующего учета прочих объектов бухгалтерского учета осуществляется в соответствии со Стандартами бухгалтерского учета.</w:t>
            </w:r>
          </w:p>
        </w:tc>
      </w:tr>
    </w:tbl>
    <w:tbl>
      <w:tblPr>
        <w:tblStyle w:val="TableStyle11"/>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5385"/>
      </w:tblGrid>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pPr>
              <w:jc w:val="center"/>
            </w:pPr>
          </w:p>
        </w:tc>
        <w:tc>
          <w:tcPr>
            <w:tcW w:w="5385" w:type="dxa"/>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pPr>
              <w:ind w:left="105"/>
            </w:pPr>
          </w:p>
        </w:tc>
        <w:tc>
          <w:tcPr>
            <w:tcW w:w="10425" w:type="dxa"/>
            <w:gridSpan w:val="3"/>
            <w:shd w:val="clear" w:color="auto" w:fill="auto"/>
            <w:vAlign w:val="center"/>
          </w:tcPr>
          <w:p w:rsidR="00E14DE7" w:rsidRDefault="00E14DE7" w:rsidP="00E14DE7">
            <w:pPr>
              <w:ind w:left="105"/>
            </w:pPr>
          </w:p>
        </w:tc>
      </w:tr>
    </w:tbl>
    <w:p w:rsidR="00E14DE7" w:rsidRDefault="00E14DE7" w:rsidP="00E14DE7">
      <w:pPr>
        <w:sectPr w:rsidR="00E14DE7">
          <w:pgSz w:w="11907" w:h="16839"/>
          <w:pgMar w:top="567" w:right="567" w:bottom="567" w:left="567" w:header="720" w:footer="720" w:gutter="0"/>
          <w:cols w:space="720"/>
        </w:sectPr>
      </w:pPr>
    </w:p>
    <w:tbl>
      <w:tblPr>
        <w:tblStyle w:val="TableStyle12"/>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tc>
        <w:tc>
          <w:tcPr>
            <w:tcW w:w="15465" w:type="dxa"/>
            <w:shd w:val="clear" w:color="auto" w:fill="auto"/>
            <w:vAlign w:val="center"/>
          </w:tcPr>
          <w:p w:rsidR="00E14DE7" w:rsidRDefault="00E14DE7" w:rsidP="00E14DE7">
            <w:pPr>
              <w:ind w:left="105"/>
            </w:pPr>
            <w:r>
              <w:rPr>
                <w:b/>
                <w:sz w:val="24"/>
                <w:szCs w:val="24"/>
              </w:rPr>
              <w:t>Примечание 5. Денежные средства</w:t>
            </w:r>
          </w:p>
        </w:tc>
      </w:tr>
    </w:tbl>
    <w:tbl>
      <w:tblPr>
        <w:tblStyle w:val="TableStyle13"/>
        <w:tblW w:w="15600" w:type="dxa"/>
        <w:tblInd w:w="57" w:type="dxa"/>
        <w:tblLayout w:type="fixed"/>
        <w:tblCellMar>
          <w:left w:w="57" w:type="dxa"/>
          <w:right w:w="57" w:type="dxa"/>
        </w:tblCellMar>
        <w:tblLook w:val="04A0" w:firstRow="1" w:lastRow="0" w:firstColumn="1" w:lastColumn="0" w:noHBand="0" w:noVBand="1"/>
      </w:tblPr>
      <w:tblGrid>
        <w:gridCol w:w="135"/>
        <w:gridCol w:w="735"/>
        <w:gridCol w:w="4020"/>
        <w:gridCol w:w="1785"/>
        <w:gridCol w:w="1785"/>
        <w:gridCol w:w="1785"/>
        <w:gridCol w:w="1785"/>
        <w:gridCol w:w="1785"/>
        <w:gridCol w:w="178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tc>
        <w:tc>
          <w:tcPr>
            <w:tcW w:w="4020"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center"/>
            </w:pPr>
            <w:r>
              <w:rPr>
                <w:b/>
                <w:sz w:val="22"/>
              </w:rPr>
              <w:t>Денежные средства</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020"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right"/>
            </w:pPr>
            <w:r>
              <w:rPr>
                <w:b/>
                <w:sz w:val="20"/>
                <w:szCs w:val="20"/>
              </w:rPr>
              <w:t>Таблица 5.1</w:t>
            </w:r>
          </w:p>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right"/>
            </w:pPr>
            <w:r>
              <w:rPr>
                <w:sz w:val="18"/>
                <w:szCs w:val="18"/>
              </w:rPr>
              <w:t>тыс. руб.</w:t>
            </w:r>
          </w:p>
        </w:tc>
      </w:tr>
    </w:tbl>
    <w:tbl>
      <w:tblPr>
        <w:tblStyle w:val="TableStyle14"/>
        <w:tblW w:w="15600" w:type="dxa"/>
        <w:tblInd w:w="57" w:type="dxa"/>
        <w:tblLayout w:type="fixed"/>
        <w:tblCellMar>
          <w:left w:w="57" w:type="dxa"/>
          <w:right w:w="57" w:type="dxa"/>
        </w:tblCellMar>
        <w:tblLook w:val="04A0" w:firstRow="1" w:lastRow="0" w:firstColumn="1" w:lastColumn="0" w:noHBand="0" w:noVBand="1"/>
      </w:tblPr>
      <w:tblGrid>
        <w:gridCol w:w="135"/>
        <w:gridCol w:w="735"/>
        <w:gridCol w:w="4020"/>
        <w:gridCol w:w="1785"/>
        <w:gridCol w:w="1785"/>
        <w:gridCol w:w="1785"/>
        <w:gridCol w:w="1785"/>
        <w:gridCol w:w="1785"/>
        <w:gridCol w:w="1785"/>
      </w:tblGrid>
      <w:tr w:rsidR="00E14DE7" w:rsidTr="00E14DE7">
        <w:trPr>
          <w:cantSplit/>
        </w:trPr>
        <w:tc>
          <w:tcPr>
            <w:tcW w:w="135" w:type="dxa"/>
            <w:shd w:val="clear" w:color="auto" w:fill="auto"/>
            <w:vAlign w:val="center"/>
          </w:tcPr>
          <w:p w:rsidR="00E14DE7" w:rsidRDefault="00E14DE7" w:rsidP="00E14DE7"/>
        </w:tc>
        <w:tc>
          <w:tcPr>
            <w:tcW w:w="73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02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535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c>
          <w:tcPr>
            <w:tcW w:w="535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31.12.2025 г.</w:t>
            </w:r>
          </w:p>
        </w:tc>
      </w:tr>
      <w:tr w:rsidR="00E14DE7" w:rsidTr="00E14DE7">
        <w:trPr>
          <w:cantSplit/>
        </w:trPr>
        <w:tc>
          <w:tcPr>
            <w:tcW w:w="135" w:type="dxa"/>
            <w:shd w:val="clear" w:color="auto" w:fill="auto"/>
            <w:vAlign w:val="center"/>
          </w:tcPr>
          <w:p w:rsidR="00E14DE7" w:rsidRDefault="00E14DE7" w:rsidP="00E14DE7"/>
        </w:tc>
        <w:tc>
          <w:tcPr>
            <w:tcW w:w="73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4020"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Полная 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Оценочный резерв под ожидаемые кредитные убытки</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Полная 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Оценочный резерв под ожидаемые кредитные убытки</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Балансовая стоимость</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Расчетные счета</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128 967</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(667)</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128 300</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124 045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(643)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123 402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1 506</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1 498</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130 473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(675)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129 798</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124 045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(643)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123 402</w:t>
            </w:r>
          </w:p>
        </w:tc>
      </w:tr>
    </w:tbl>
    <w:tbl>
      <w:tblPr>
        <w:tblStyle w:val="TableStyle15"/>
        <w:tblW w:w="15600" w:type="dxa"/>
        <w:tblInd w:w="57" w:type="dxa"/>
        <w:tblLayout w:type="fixed"/>
        <w:tblCellMar>
          <w:left w:w="57" w:type="dxa"/>
          <w:right w:w="57" w:type="dxa"/>
        </w:tblCellMar>
        <w:tblLook w:val="04A0" w:firstRow="1" w:lastRow="0" w:firstColumn="1" w:lastColumn="0" w:noHBand="0" w:noVBand="1"/>
      </w:tblPr>
      <w:tblGrid>
        <w:gridCol w:w="135"/>
        <w:gridCol w:w="735"/>
        <w:gridCol w:w="1995"/>
        <w:gridCol w:w="1273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19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sz w:val="18"/>
                <w:szCs w:val="18"/>
              </w:rPr>
              <w:t>Текстовое пояснение</w:t>
            </w:r>
          </w:p>
        </w:tc>
        <w:tc>
          <w:tcPr>
            <w:tcW w:w="12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sz w:val="18"/>
                <w:szCs w:val="18"/>
              </w:rPr>
              <w:t>"По состоянию на 30.06.2026  у Общества имелись остатки денежных средств  на расчетных счетах в 2 кредитных организациях Российской Федерации (на 31.12.2025г. – на расчетных счетах в 3 кредитной организации). Совокупная сумма этих остатков составила 130 473  тысячи рублей (на 31.12.2025  – 124 045 тысяч рублей), или 100 процентов от общей суммы денежных средств. И остатки денежных средств на специальном депозитарном счете в 1 кредитной организации в размере 1 506 тыс. руб., или 100 процентов от общей суммы денежных средств</w:t>
            </w:r>
            <w:proofErr w:type="gramStart"/>
            <w:r>
              <w:rPr>
                <w:sz w:val="18"/>
                <w:szCs w:val="18"/>
              </w:rPr>
              <w:t>.</w:t>
            </w:r>
            <w:proofErr w:type="gramEnd"/>
            <w:r>
              <w:rPr>
                <w:sz w:val="18"/>
                <w:szCs w:val="18"/>
              </w:rPr>
              <w:t xml:space="preserve"> (</w:t>
            </w:r>
            <w:proofErr w:type="gramStart"/>
            <w:r>
              <w:rPr>
                <w:sz w:val="18"/>
                <w:szCs w:val="18"/>
              </w:rPr>
              <w:t>н</w:t>
            </w:r>
            <w:proofErr w:type="gramEnd"/>
            <w:r>
              <w:rPr>
                <w:sz w:val="18"/>
                <w:szCs w:val="18"/>
              </w:rPr>
              <w:t>а 31.12.2025г. - денежные средства на специальном депозитарном счете отсутствовали)</w:t>
            </w:r>
          </w:p>
          <w:p w:rsidR="00E14DE7" w:rsidRDefault="00E14DE7" w:rsidP="00E14DE7">
            <w:r>
              <w:rPr>
                <w:sz w:val="18"/>
                <w:szCs w:val="18"/>
              </w:rPr>
              <w:t>Денежные средства, использование которых ограничено, отсутствуют по состоянию на 30.06.2026г. (на 31.12.2025г. – отсутствуют).</w:t>
            </w:r>
          </w:p>
          <w:p w:rsidR="00E14DE7" w:rsidRDefault="00E14DE7" w:rsidP="00E14DE7">
            <w:r>
              <w:rPr>
                <w:sz w:val="18"/>
                <w:szCs w:val="18"/>
              </w:rPr>
              <w:t>В составе денежных средств по состоянию на 30.06.2026 включены проценты, начисленные на минимальный неснижаемый остаток (МНО), в общей сумме 661 тысяча рублей (на 31.12.2025  – начисленные проценты МНО составляли 317 тысяч рублей).</w:t>
            </w:r>
          </w:p>
          <w:p w:rsidR="00E14DE7" w:rsidRDefault="00E14DE7" w:rsidP="00E14DE7">
            <w:r>
              <w:rPr>
                <w:sz w:val="18"/>
                <w:szCs w:val="18"/>
              </w:rPr>
              <w:t>Общая сумма МНО по состоянию на 30.06.2026 составила 128 284 тыс. руб. (на 31.12.2025 – 123 706 тыс. руб.). Средства размещены в российском банке с рейтингом не ниже RU A по данным Эксперт РА. Диапазон процентных ставок МНО на 30.06.2026 составил от 12.75% до 14.95%, срок  от 1 до 88 календарных  дней.</w:t>
            </w:r>
          </w:p>
          <w:p w:rsidR="00E14DE7" w:rsidRDefault="00E14DE7" w:rsidP="00E14DE7">
            <w:r>
              <w:rPr>
                <w:sz w:val="18"/>
                <w:szCs w:val="18"/>
              </w:rPr>
              <w:t>Просроченных сре</w:t>
            </w:r>
            <w:proofErr w:type="gramStart"/>
            <w:r>
              <w:rPr>
                <w:sz w:val="18"/>
                <w:szCs w:val="18"/>
              </w:rPr>
              <w:t>дств  в  кр</w:t>
            </w:r>
            <w:proofErr w:type="gramEnd"/>
            <w:r>
              <w:rPr>
                <w:sz w:val="18"/>
                <w:szCs w:val="18"/>
              </w:rPr>
              <w:t>едитных организациях Общество не имеет.</w:t>
            </w:r>
          </w:p>
          <w:p w:rsidR="00E14DE7" w:rsidRDefault="00E14DE7" w:rsidP="00E14DE7">
            <w:proofErr w:type="spellStart"/>
            <w:r>
              <w:rPr>
                <w:sz w:val="18"/>
                <w:szCs w:val="18"/>
              </w:rPr>
              <w:t>Реклассификации</w:t>
            </w:r>
            <w:proofErr w:type="spellEnd"/>
            <w:r>
              <w:rPr>
                <w:sz w:val="18"/>
                <w:szCs w:val="18"/>
              </w:rPr>
              <w:t xml:space="preserve"> средств не было.</w:t>
            </w:r>
          </w:p>
          <w:p w:rsidR="00E14DE7" w:rsidRDefault="00E14DE7" w:rsidP="00E14DE7">
            <w:r>
              <w:rPr>
                <w:sz w:val="18"/>
                <w:szCs w:val="18"/>
              </w:rPr>
              <w:t>Справедливая стоимость  денежных средств соответствует балансовой стоимости".</w:t>
            </w:r>
          </w:p>
        </w:tc>
      </w:tr>
    </w:tbl>
    <w:tbl>
      <w:tblPr>
        <w:tblStyle w:val="TableStyle16"/>
        <w:tblW w:w="15600" w:type="dxa"/>
        <w:tblInd w:w="57" w:type="dxa"/>
        <w:tblLayout w:type="fixed"/>
        <w:tblCellMar>
          <w:left w:w="57" w:type="dxa"/>
          <w:right w:w="57" w:type="dxa"/>
        </w:tblCellMar>
        <w:tblLook w:val="04A0" w:firstRow="1" w:lastRow="0" w:firstColumn="1" w:lastColumn="0" w:noHBand="0" w:noVBand="1"/>
      </w:tblPr>
      <w:tblGrid>
        <w:gridCol w:w="135"/>
        <w:gridCol w:w="735"/>
        <w:gridCol w:w="4020"/>
        <w:gridCol w:w="1785"/>
        <w:gridCol w:w="1785"/>
        <w:gridCol w:w="1785"/>
        <w:gridCol w:w="1785"/>
        <w:gridCol w:w="1785"/>
        <w:gridCol w:w="178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tc>
        <w:tc>
          <w:tcPr>
            <w:tcW w:w="4020"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center"/>
            </w:pPr>
            <w:r>
              <w:rPr>
                <w:b/>
                <w:sz w:val="22"/>
              </w:rPr>
              <w:t>Компоненты денежных средств и их эквивалентов</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020"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c>
          <w:tcPr>
            <w:tcW w:w="178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right"/>
            </w:pPr>
            <w:r>
              <w:rPr>
                <w:b/>
                <w:sz w:val="20"/>
                <w:szCs w:val="20"/>
              </w:rPr>
              <w:t>Таблица 5.2</w:t>
            </w:r>
          </w:p>
        </w:tc>
      </w:tr>
      <w:tr w:rsidR="00E14DE7" w:rsidTr="00E14DE7">
        <w:trPr>
          <w:cantSplit/>
        </w:trPr>
        <w:tc>
          <w:tcPr>
            <w:tcW w:w="135" w:type="dxa"/>
            <w:shd w:val="clear" w:color="auto" w:fill="auto"/>
            <w:vAlign w:val="center"/>
          </w:tcPr>
          <w:p w:rsidR="00E14DE7" w:rsidRDefault="00E14DE7" w:rsidP="00E14DE7"/>
        </w:tc>
        <w:tc>
          <w:tcPr>
            <w:tcW w:w="15465" w:type="dxa"/>
            <w:gridSpan w:val="8"/>
            <w:shd w:val="clear" w:color="auto" w:fill="auto"/>
            <w:vAlign w:val="center"/>
          </w:tcPr>
          <w:p w:rsidR="00E14DE7" w:rsidRDefault="00E14DE7" w:rsidP="00E14DE7">
            <w:pPr>
              <w:jc w:val="right"/>
            </w:pPr>
            <w:r>
              <w:rPr>
                <w:sz w:val="18"/>
                <w:szCs w:val="18"/>
              </w:rPr>
              <w:t>тыс. руб.</w:t>
            </w:r>
          </w:p>
        </w:tc>
      </w:tr>
    </w:tbl>
    <w:tbl>
      <w:tblPr>
        <w:tblStyle w:val="TableStyle17"/>
        <w:tblW w:w="15600" w:type="dxa"/>
        <w:tblInd w:w="57" w:type="dxa"/>
        <w:tblLayout w:type="fixed"/>
        <w:tblCellMar>
          <w:left w:w="57" w:type="dxa"/>
          <w:right w:w="57" w:type="dxa"/>
        </w:tblCellMar>
        <w:tblLook w:val="04A0" w:firstRow="1" w:lastRow="0" w:firstColumn="1" w:lastColumn="0" w:noHBand="0" w:noVBand="1"/>
      </w:tblPr>
      <w:tblGrid>
        <w:gridCol w:w="135"/>
        <w:gridCol w:w="735"/>
        <w:gridCol w:w="6120"/>
        <w:gridCol w:w="4305"/>
        <w:gridCol w:w="430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61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31.12.2025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61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61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Денежные средства</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129 805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123 402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61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Оценочный резерв под ожидаемые кредитные убытки</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667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643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61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130 473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124 045</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18"/>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tc>
        <w:tc>
          <w:tcPr>
            <w:tcW w:w="15465" w:type="dxa"/>
            <w:shd w:val="clear" w:color="auto" w:fill="auto"/>
            <w:vAlign w:val="center"/>
          </w:tcPr>
          <w:p w:rsidR="00E14DE7" w:rsidRDefault="00E14DE7" w:rsidP="00E14DE7">
            <w:pPr>
              <w:ind w:left="105"/>
            </w:pPr>
            <w:r>
              <w:rPr>
                <w:b/>
                <w:sz w:val="24"/>
                <w:szCs w:val="24"/>
              </w:rPr>
              <w:t>Примечание 6. Финансовые активы, оцениваемые по амортизированной стоимости: дебиторская задолженность</w:t>
            </w:r>
          </w:p>
        </w:tc>
      </w:tr>
    </w:tbl>
    <w:tbl>
      <w:tblPr>
        <w:tblStyle w:val="TableStyle19"/>
        <w:tblW w:w="15600" w:type="dxa"/>
        <w:tblInd w:w="57" w:type="dxa"/>
        <w:tblLayout w:type="fixed"/>
        <w:tblCellMar>
          <w:left w:w="57" w:type="dxa"/>
          <w:right w:w="57" w:type="dxa"/>
        </w:tblCellMar>
        <w:tblLook w:val="04A0" w:firstRow="1" w:lastRow="0" w:firstColumn="1" w:lastColumn="0" w:noHBand="0" w:noVBand="1"/>
      </w:tblPr>
      <w:tblGrid>
        <w:gridCol w:w="135"/>
        <w:gridCol w:w="735"/>
        <w:gridCol w:w="4440"/>
        <w:gridCol w:w="3435"/>
        <w:gridCol w:w="3420"/>
        <w:gridCol w:w="343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tc>
        <w:tc>
          <w:tcPr>
            <w:tcW w:w="4440" w:type="dxa"/>
            <w:shd w:val="clear" w:color="auto" w:fill="auto"/>
            <w:vAlign w:val="center"/>
          </w:tcPr>
          <w:p w:rsidR="00E14DE7" w:rsidRDefault="00E14DE7" w:rsidP="00E14DE7"/>
        </w:tc>
        <w:tc>
          <w:tcPr>
            <w:tcW w:w="3435" w:type="dxa"/>
            <w:shd w:val="clear" w:color="auto" w:fill="auto"/>
            <w:vAlign w:val="center"/>
          </w:tcPr>
          <w:p w:rsidR="00E14DE7" w:rsidRDefault="00E14DE7" w:rsidP="00E14DE7"/>
        </w:tc>
        <w:tc>
          <w:tcPr>
            <w:tcW w:w="3420" w:type="dxa"/>
            <w:shd w:val="clear" w:color="auto" w:fill="auto"/>
            <w:vAlign w:val="center"/>
          </w:tcPr>
          <w:p w:rsidR="00E14DE7" w:rsidRDefault="00E14DE7" w:rsidP="00E14DE7"/>
        </w:tc>
        <w:tc>
          <w:tcPr>
            <w:tcW w:w="343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5"/>
            <w:shd w:val="clear" w:color="auto" w:fill="auto"/>
            <w:vAlign w:val="center"/>
          </w:tcPr>
          <w:p w:rsidR="00E14DE7" w:rsidRDefault="00E14DE7" w:rsidP="00E14DE7">
            <w:pPr>
              <w:jc w:val="center"/>
            </w:pPr>
            <w:r>
              <w:rPr>
                <w:b/>
                <w:sz w:val="22"/>
              </w:rPr>
              <w:t>Дебиторская задолженность, оцениваемая по амортизированной стоимости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440" w:type="dxa"/>
            <w:shd w:val="clear" w:color="auto" w:fill="auto"/>
            <w:vAlign w:val="center"/>
          </w:tcPr>
          <w:p w:rsidR="00E14DE7" w:rsidRDefault="00E14DE7" w:rsidP="00E14DE7"/>
        </w:tc>
        <w:tc>
          <w:tcPr>
            <w:tcW w:w="3435" w:type="dxa"/>
            <w:shd w:val="clear" w:color="auto" w:fill="auto"/>
            <w:vAlign w:val="center"/>
          </w:tcPr>
          <w:p w:rsidR="00E14DE7" w:rsidRDefault="00E14DE7" w:rsidP="00E14DE7"/>
        </w:tc>
        <w:tc>
          <w:tcPr>
            <w:tcW w:w="3420" w:type="dxa"/>
            <w:shd w:val="clear" w:color="auto" w:fill="auto"/>
            <w:vAlign w:val="center"/>
          </w:tcPr>
          <w:p w:rsidR="00E14DE7" w:rsidRDefault="00E14DE7" w:rsidP="00E14DE7"/>
        </w:tc>
        <w:tc>
          <w:tcPr>
            <w:tcW w:w="343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5"/>
            <w:shd w:val="clear" w:color="auto" w:fill="auto"/>
            <w:vAlign w:val="center"/>
          </w:tcPr>
          <w:p w:rsidR="00E14DE7" w:rsidRDefault="00E14DE7" w:rsidP="00E14DE7">
            <w:pPr>
              <w:jc w:val="right"/>
            </w:pPr>
            <w:r>
              <w:rPr>
                <w:b/>
                <w:sz w:val="20"/>
                <w:szCs w:val="20"/>
              </w:rPr>
              <w:t>Таблица 6.1</w:t>
            </w:r>
          </w:p>
        </w:tc>
      </w:tr>
      <w:tr w:rsidR="00E14DE7" w:rsidTr="00E14DE7">
        <w:trPr>
          <w:cantSplit/>
        </w:trPr>
        <w:tc>
          <w:tcPr>
            <w:tcW w:w="135" w:type="dxa"/>
            <w:shd w:val="clear" w:color="auto" w:fill="auto"/>
            <w:vAlign w:val="center"/>
          </w:tcPr>
          <w:p w:rsidR="00E14DE7" w:rsidRDefault="00E14DE7" w:rsidP="00E14DE7"/>
        </w:tc>
        <w:tc>
          <w:tcPr>
            <w:tcW w:w="15465" w:type="dxa"/>
            <w:gridSpan w:val="5"/>
            <w:shd w:val="clear" w:color="auto" w:fill="auto"/>
            <w:vAlign w:val="center"/>
          </w:tcPr>
          <w:p w:rsidR="00E14DE7" w:rsidRDefault="00E14DE7" w:rsidP="00E14DE7">
            <w:pPr>
              <w:jc w:val="right"/>
            </w:pPr>
            <w:r>
              <w:rPr>
                <w:sz w:val="18"/>
                <w:szCs w:val="18"/>
              </w:rPr>
              <w:t>тыс. руб.</w:t>
            </w:r>
          </w:p>
        </w:tc>
      </w:tr>
    </w:tbl>
    <w:tbl>
      <w:tblPr>
        <w:tblStyle w:val="TableStyle20"/>
        <w:tblW w:w="15600" w:type="dxa"/>
        <w:tblInd w:w="57" w:type="dxa"/>
        <w:tblLayout w:type="fixed"/>
        <w:tblCellMar>
          <w:left w:w="57" w:type="dxa"/>
          <w:right w:w="57" w:type="dxa"/>
        </w:tblCellMar>
        <w:tblLook w:val="04A0" w:firstRow="1" w:lastRow="0" w:firstColumn="1" w:lastColumn="0" w:noHBand="0" w:noVBand="1"/>
      </w:tblPr>
      <w:tblGrid>
        <w:gridCol w:w="135"/>
        <w:gridCol w:w="735"/>
        <w:gridCol w:w="4020"/>
        <w:gridCol w:w="1785"/>
        <w:gridCol w:w="1785"/>
        <w:gridCol w:w="1785"/>
        <w:gridCol w:w="1785"/>
        <w:gridCol w:w="1785"/>
        <w:gridCol w:w="1785"/>
      </w:tblGrid>
      <w:tr w:rsidR="00E14DE7" w:rsidTr="00E14DE7">
        <w:trPr>
          <w:cantSplit/>
        </w:trPr>
        <w:tc>
          <w:tcPr>
            <w:tcW w:w="135" w:type="dxa"/>
            <w:shd w:val="clear" w:color="auto" w:fill="auto"/>
            <w:vAlign w:val="center"/>
          </w:tcPr>
          <w:p w:rsidR="00E14DE7" w:rsidRDefault="00E14DE7" w:rsidP="00E14DE7"/>
        </w:tc>
        <w:tc>
          <w:tcPr>
            <w:tcW w:w="73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02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535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c>
          <w:tcPr>
            <w:tcW w:w="535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31.12.2025 г.</w:t>
            </w:r>
          </w:p>
        </w:tc>
      </w:tr>
      <w:tr w:rsidR="00E14DE7" w:rsidTr="00E14DE7">
        <w:trPr>
          <w:cantSplit/>
        </w:trPr>
        <w:tc>
          <w:tcPr>
            <w:tcW w:w="135" w:type="dxa"/>
            <w:shd w:val="clear" w:color="auto" w:fill="auto"/>
            <w:vAlign w:val="center"/>
          </w:tcPr>
          <w:p w:rsidR="00E14DE7" w:rsidRDefault="00E14DE7" w:rsidP="00E14DE7"/>
        </w:tc>
        <w:tc>
          <w:tcPr>
            <w:tcW w:w="73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4020"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Полная 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Оценочный резерв под ожидаемые кредитные убытки</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Полная балансовая стоимость</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Оценочный резерв под ожидаемые кредитные убытки</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Балансовая стоимость</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Дебиторская задолженность клиентов</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9 064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(291)</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8 773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11 281</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(584)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10 697</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0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9 064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(291)</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8 773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11 281</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(584)</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10 697</w:t>
            </w:r>
          </w:p>
        </w:tc>
      </w:tr>
    </w:tbl>
    <w:tbl>
      <w:tblPr>
        <w:tblStyle w:val="TableStyle21"/>
        <w:tblW w:w="15600" w:type="dxa"/>
        <w:tblInd w:w="57" w:type="dxa"/>
        <w:tblLayout w:type="fixed"/>
        <w:tblCellMar>
          <w:left w:w="57" w:type="dxa"/>
          <w:right w:w="57" w:type="dxa"/>
        </w:tblCellMar>
        <w:tblLook w:val="04A0" w:firstRow="1" w:lastRow="0" w:firstColumn="1" w:lastColumn="0" w:noHBand="0" w:noVBand="1"/>
      </w:tblPr>
      <w:tblGrid>
        <w:gridCol w:w="135"/>
        <w:gridCol w:w="735"/>
        <w:gridCol w:w="1995"/>
        <w:gridCol w:w="12735"/>
      </w:tblGrid>
      <w:tr w:rsidR="00E14DE7" w:rsidTr="00E14DE7">
        <w:trPr>
          <w:cantSplit/>
        </w:trPr>
        <w:tc>
          <w:tcPr>
            <w:tcW w:w="135" w:type="dxa"/>
            <w:shd w:val="clear" w:color="auto" w:fill="auto"/>
            <w:vAlign w:val="bottom"/>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19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r>
              <w:rPr>
                <w:sz w:val="18"/>
                <w:szCs w:val="18"/>
              </w:rPr>
              <w:t>Текстовое пояснение</w:t>
            </w:r>
          </w:p>
        </w:tc>
        <w:tc>
          <w:tcPr>
            <w:tcW w:w="12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"Дебиторская задолженность клиентов представлена задолженностью по вознаграждению от оказания услуг депозитария  и специализированного депозитария  по учету, контролю и хранению имущества на 30.06.2026 в сумме 9 064 тысячи рублей (на 31.12.2025 в сумме 11 281 тысяча рублей).</w:t>
            </w:r>
          </w:p>
          <w:p w:rsidR="00E14DE7" w:rsidRDefault="00E14DE7" w:rsidP="00E14DE7">
            <w:pPr>
              <w:ind w:left="105"/>
            </w:pPr>
            <w:r>
              <w:rPr>
                <w:sz w:val="18"/>
                <w:szCs w:val="18"/>
              </w:rPr>
              <w:t xml:space="preserve">У Общества отсутствует информация </w:t>
            </w:r>
            <w:proofErr w:type="gramStart"/>
            <w:r>
              <w:rPr>
                <w:sz w:val="18"/>
                <w:szCs w:val="18"/>
              </w:rPr>
              <w:t>о</w:t>
            </w:r>
            <w:proofErr w:type="gramEnd"/>
            <w:r>
              <w:rPr>
                <w:sz w:val="18"/>
                <w:szCs w:val="18"/>
              </w:rPr>
              <w:t xml:space="preserve"> кредитных рейтингов у дебиторов. Общество принимает допущение об отсутствии кредитных рейтингов от рейтинговых агентств, представленных в перечне Банка России. По состоянию на 30.06.2026  просроченная дебиторская задолженность составляет 424 тыс. руб. </w:t>
            </w:r>
            <w:proofErr w:type="gramStart"/>
            <w:r>
              <w:rPr>
                <w:sz w:val="18"/>
                <w:szCs w:val="18"/>
              </w:rPr>
              <w:t xml:space="preserve">( </w:t>
            </w:r>
            <w:proofErr w:type="gramEnd"/>
            <w:r>
              <w:rPr>
                <w:sz w:val="18"/>
                <w:szCs w:val="18"/>
              </w:rPr>
              <w:t>по состоянию на 31.12.2025  2 218 тыс. руб.)".</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22"/>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pPr>
              <w:ind w:left="105"/>
            </w:pPr>
          </w:p>
        </w:tc>
        <w:tc>
          <w:tcPr>
            <w:tcW w:w="15465" w:type="dxa"/>
            <w:shd w:val="clear" w:color="auto" w:fill="auto"/>
            <w:vAlign w:val="center"/>
          </w:tcPr>
          <w:p w:rsidR="00E14DE7" w:rsidRDefault="00E14DE7" w:rsidP="00E14DE7">
            <w:pPr>
              <w:ind w:left="105"/>
            </w:pPr>
            <w:r>
              <w:rPr>
                <w:b/>
                <w:sz w:val="24"/>
                <w:szCs w:val="24"/>
              </w:rPr>
              <w:t>Примечание 7. Нематериальные активы и капитальные вложения в них</w:t>
            </w:r>
          </w:p>
        </w:tc>
      </w:tr>
    </w:tbl>
    <w:tbl>
      <w:tblPr>
        <w:tblStyle w:val="TableStyle23"/>
        <w:tblW w:w="15600" w:type="dxa"/>
        <w:tblInd w:w="57" w:type="dxa"/>
        <w:tblLayout w:type="fixed"/>
        <w:tblCellMar>
          <w:left w:w="57" w:type="dxa"/>
          <w:right w:w="57" w:type="dxa"/>
        </w:tblCellMar>
        <w:tblLook w:val="04A0" w:firstRow="1" w:lastRow="0" w:firstColumn="1" w:lastColumn="0" w:noHBand="0" w:noVBand="1"/>
      </w:tblPr>
      <w:tblGrid>
        <w:gridCol w:w="135"/>
        <w:gridCol w:w="735"/>
        <w:gridCol w:w="2130"/>
        <w:gridCol w:w="1575"/>
        <w:gridCol w:w="1575"/>
        <w:gridCol w:w="1575"/>
        <w:gridCol w:w="1575"/>
        <w:gridCol w:w="1575"/>
        <w:gridCol w:w="1575"/>
        <w:gridCol w:w="1575"/>
        <w:gridCol w:w="1575"/>
      </w:tblGrid>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jc w:val="center"/>
            </w:pPr>
          </w:p>
        </w:tc>
        <w:tc>
          <w:tcPr>
            <w:tcW w:w="2130"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0"/>
            <w:shd w:val="clear" w:color="auto" w:fill="auto"/>
            <w:vAlign w:val="center"/>
          </w:tcPr>
          <w:p w:rsidR="00E14DE7" w:rsidRDefault="00E14DE7" w:rsidP="00E14DE7">
            <w:pPr>
              <w:jc w:val="center"/>
            </w:pPr>
            <w:r>
              <w:rPr>
                <w:b/>
                <w:sz w:val="22"/>
              </w:rPr>
              <w:t>Нематериальные активы и капитальные вложения в них</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jc w:val="right"/>
            </w:pPr>
          </w:p>
        </w:tc>
        <w:tc>
          <w:tcPr>
            <w:tcW w:w="2130"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c>
          <w:tcPr>
            <w:tcW w:w="157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0"/>
            <w:shd w:val="clear" w:color="auto" w:fill="auto"/>
            <w:vAlign w:val="center"/>
          </w:tcPr>
          <w:p w:rsidR="00E14DE7" w:rsidRDefault="00E14DE7" w:rsidP="00E14DE7">
            <w:pPr>
              <w:jc w:val="right"/>
            </w:pPr>
            <w:r>
              <w:rPr>
                <w:b/>
                <w:sz w:val="20"/>
                <w:szCs w:val="20"/>
              </w:rPr>
              <w:t>Таблица 7.1</w:t>
            </w: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0"/>
            <w:shd w:val="clear" w:color="auto" w:fill="auto"/>
            <w:vAlign w:val="center"/>
          </w:tcPr>
          <w:p w:rsidR="00E14DE7" w:rsidRDefault="00E14DE7" w:rsidP="00E14DE7">
            <w:pPr>
              <w:jc w:val="right"/>
            </w:pPr>
            <w:r>
              <w:rPr>
                <w:sz w:val="18"/>
                <w:szCs w:val="18"/>
              </w:rPr>
              <w:t>тыс. руб.</w:t>
            </w:r>
          </w:p>
        </w:tc>
      </w:tr>
    </w:tbl>
    <w:tbl>
      <w:tblPr>
        <w:tblStyle w:val="TableStyle24"/>
        <w:tblW w:w="15600" w:type="dxa"/>
        <w:tblInd w:w="57" w:type="dxa"/>
        <w:tblLayout w:type="fixed"/>
        <w:tblCellMar>
          <w:left w:w="57" w:type="dxa"/>
          <w:right w:w="57" w:type="dxa"/>
        </w:tblCellMar>
        <w:tblLook w:val="04A0" w:firstRow="1" w:lastRow="0" w:firstColumn="1" w:lastColumn="0" w:noHBand="0" w:noVBand="1"/>
      </w:tblPr>
      <w:tblGrid>
        <w:gridCol w:w="135"/>
        <w:gridCol w:w="735"/>
        <w:gridCol w:w="5955"/>
        <w:gridCol w:w="4380"/>
        <w:gridCol w:w="4395"/>
      </w:tblGrid>
      <w:tr w:rsidR="00E14DE7" w:rsidTr="00E14DE7">
        <w:trPr>
          <w:cantSplit/>
        </w:trPr>
        <w:tc>
          <w:tcPr>
            <w:tcW w:w="135" w:type="dxa"/>
            <w:shd w:val="clear" w:color="auto" w:fill="auto"/>
            <w:vAlign w:val="center"/>
          </w:tcPr>
          <w:p w:rsidR="00E14DE7" w:rsidRDefault="00E14DE7" w:rsidP="00E14DE7">
            <w:pPr>
              <w:ind w:left="105"/>
            </w:pPr>
          </w:p>
        </w:tc>
        <w:tc>
          <w:tcPr>
            <w:tcW w:w="73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595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4380"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r>
              <w:rPr>
                <w:b/>
                <w:sz w:val="18"/>
                <w:szCs w:val="18"/>
              </w:rPr>
              <w:t>Нематериальные активы, приобретенные</w:t>
            </w:r>
          </w:p>
        </w:tc>
        <w:tc>
          <w:tcPr>
            <w:tcW w:w="439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Итого</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595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Программное обеспечение</w:t>
            </w:r>
          </w:p>
        </w:tc>
        <w:tc>
          <w:tcPr>
            <w:tcW w:w="439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01.01.2025 г., в том числе: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14 817</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14 817</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15 060</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15 060</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(243)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(243)</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Поступление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3 183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3 183</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(1 776)</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(1 776)</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30.06.2025 г., в том числе: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16 224</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16 224</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18 243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18 243</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(2 019)</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(2 019)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01.01.2026 г., в том числе: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19 451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19 451</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23 382</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23 382</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(3 931)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(3 931)</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Поступление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3 000</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3 000</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13</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(2 669)</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(2 669)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14</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30.06.2026 г., в том числе: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19 782</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19 782</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26 382</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26 382</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16</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(6 600)</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(6 600)</w:t>
            </w:r>
          </w:p>
        </w:tc>
      </w:tr>
    </w:tbl>
    <w:tbl>
      <w:tblPr>
        <w:tblStyle w:val="TableStyle25"/>
        <w:tblW w:w="15600" w:type="dxa"/>
        <w:tblInd w:w="57" w:type="dxa"/>
        <w:tblLayout w:type="fixed"/>
        <w:tblCellMar>
          <w:left w:w="57" w:type="dxa"/>
          <w:right w:w="57" w:type="dxa"/>
        </w:tblCellMar>
        <w:tblLook w:val="04A0" w:firstRow="1" w:lastRow="0" w:firstColumn="1" w:lastColumn="0" w:noHBand="0" w:noVBand="1"/>
      </w:tblPr>
      <w:tblGrid>
        <w:gridCol w:w="135"/>
        <w:gridCol w:w="735"/>
        <w:gridCol w:w="2130"/>
        <w:gridCol w:w="12600"/>
      </w:tblGrid>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17</w:t>
            </w:r>
          </w:p>
        </w:tc>
        <w:tc>
          <w:tcPr>
            <w:tcW w:w="21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Текстовое пояснение</w:t>
            </w:r>
          </w:p>
        </w:tc>
        <w:tc>
          <w:tcPr>
            <w:tcW w:w="126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У Общества отсутствуют </w:t>
            </w:r>
            <w:proofErr w:type="spellStart"/>
            <w:r>
              <w:rPr>
                <w:sz w:val="18"/>
                <w:szCs w:val="18"/>
              </w:rPr>
              <w:t>неамортизируемые</w:t>
            </w:r>
            <w:proofErr w:type="spellEnd"/>
            <w:r>
              <w:rPr>
                <w:sz w:val="18"/>
                <w:szCs w:val="18"/>
              </w:rPr>
              <w:t xml:space="preserve"> объекты нематериальных активов и объекты, в отношении которых существуют ограничения имущественных прав, в том числе переданных в залог, полностью </w:t>
            </w:r>
            <w:proofErr w:type="spellStart"/>
            <w:r>
              <w:rPr>
                <w:sz w:val="18"/>
                <w:szCs w:val="18"/>
              </w:rPr>
              <w:t>самортизированные</w:t>
            </w:r>
            <w:proofErr w:type="spellEnd"/>
            <w:r>
              <w:rPr>
                <w:sz w:val="18"/>
                <w:szCs w:val="18"/>
              </w:rPr>
              <w:t xml:space="preserve">  НМА отсутствуют. Представленная в балансе стоимость нематериальных активов, по мнению руководства, практически совпадает с их справедливой стоимостью. В связи с чем, отдельное примечание о справедливой стоимости нефинансовых активов, не оцениваемых по справедливой стоимости, не заполняется.</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26"/>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pPr>
              <w:ind w:left="105"/>
            </w:pPr>
          </w:p>
        </w:tc>
        <w:tc>
          <w:tcPr>
            <w:tcW w:w="15465" w:type="dxa"/>
            <w:shd w:val="clear" w:color="auto" w:fill="auto"/>
            <w:vAlign w:val="center"/>
          </w:tcPr>
          <w:p w:rsidR="00E14DE7" w:rsidRDefault="00E14DE7" w:rsidP="00E14DE7">
            <w:pPr>
              <w:ind w:left="105"/>
            </w:pPr>
            <w:r>
              <w:rPr>
                <w:b/>
                <w:sz w:val="24"/>
                <w:szCs w:val="24"/>
              </w:rPr>
              <w:t>Примечание 8. Основные средства и капитальные вложения в них</w:t>
            </w:r>
          </w:p>
        </w:tc>
      </w:tr>
    </w:tbl>
    <w:tbl>
      <w:tblPr>
        <w:tblStyle w:val="TableStyle27"/>
        <w:tblW w:w="15600" w:type="dxa"/>
        <w:tblInd w:w="57" w:type="dxa"/>
        <w:tblLayout w:type="fixed"/>
        <w:tblCellMar>
          <w:left w:w="57" w:type="dxa"/>
          <w:right w:w="57" w:type="dxa"/>
        </w:tblCellMar>
        <w:tblLook w:val="04A0" w:firstRow="1" w:lastRow="0" w:firstColumn="1" w:lastColumn="0" w:noHBand="0" w:noVBand="1"/>
      </w:tblPr>
      <w:tblGrid>
        <w:gridCol w:w="135"/>
        <w:gridCol w:w="735"/>
        <w:gridCol w:w="1725"/>
        <w:gridCol w:w="1305"/>
        <w:gridCol w:w="1305"/>
        <w:gridCol w:w="1290"/>
        <w:gridCol w:w="1305"/>
        <w:gridCol w:w="1290"/>
        <w:gridCol w:w="1305"/>
        <w:gridCol w:w="1305"/>
        <w:gridCol w:w="1290"/>
        <w:gridCol w:w="1305"/>
        <w:gridCol w:w="1305"/>
      </w:tblGrid>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jc w:val="center"/>
            </w:pPr>
          </w:p>
        </w:tc>
        <w:tc>
          <w:tcPr>
            <w:tcW w:w="172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2"/>
            <w:shd w:val="clear" w:color="auto" w:fill="auto"/>
            <w:vAlign w:val="center"/>
          </w:tcPr>
          <w:p w:rsidR="00E14DE7" w:rsidRDefault="00E14DE7" w:rsidP="00E14DE7">
            <w:pPr>
              <w:jc w:val="center"/>
            </w:pPr>
            <w:r>
              <w:rPr>
                <w:b/>
                <w:sz w:val="22"/>
              </w:rPr>
              <w:t>Основные средства и капитальные вложения в них</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shd w:val="clear" w:color="auto" w:fill="auto"/>
            <w:vAlign w:val="center"/>
          </w:tcPr>
          <w:p w:rsidR="00E14DE7" w:rsidRDefault="00E14DE7" w:rsidP="00E14DE7">
            <w:pPr>
              <w:jc w:val="right"/>
            </w:pPr>
          </w:p>
        </w:tc>
        <w:tc>
          <w:tcPr>
            <w:tcW w:w="172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290"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c>
          <w:tcPr>
            <w:tcW w:w="1305" w:type="dxa"/>
            <w:shd w:val="clear" w:color="auto" w:fill="auto"/>
            <w:vAlign w:val="center"/>
          </w:tcPr>
          <w:p w:rsidR="00E14DE7" w:rsidRDefault="00E14DE7" w:rsidP="00E14DE7">
            <w:pPr>
              <w:ind w:left="105"/>
            </w:pP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2"/>
            <w:shd w:val="clear" w:color="auto" w:fill="auto"/>
            <w:vAlign w:val="center"/>
          </w:tcPr>
          <w:p w:rsidR="00E14DE7" w:rsidRDefault="00E14DE7" w:rsidP="00E14DE7">
            <w:pPr>
              <w:jc w:val="right"/>
            </w:pPr>
            <w:r>
              <w:rPr>
                <w:b/>
                <w:sz w:val="20"/>
                <w:szCs w:val="20"/>
              </w:rPr>
              <w:t>Таблица 8.1</w:t>
            </w:r>
          </w:p>
        </w:tc>
      </w:tr>
      <w:tr w:rsidR="00E14DE7" w:rsidTr="00E14DE7">
        <w:trPr>
          <w:cantSplit/>
        </w:trPr>
        <w:tc>
          <w:tcPr>
            <w:tcW w:w="135" w:type="dxa"/>
            <w:shd w:val="clear" w:color="auto" w:fill="auto"/>
            <w:vAlign w:val="center"/>
          </w:tcPr>
          <w:p w:rsidR="00E14DE7" w:rsidRDefault="00E14DE7" w:rsidP="00E14DE7">
            <w:pPr>
              <w:ind w:left="105"/>
            </w:pPr>
          </w:p>
        </w:tc>
        <w:tc>
          <w:tcPr>
            <w:tcW w:w="15465" w:type="dxa"/>
            <w:gridSpan w:val="12"/>
            <w:shd w:val="clear" w:color="auto" w:fill="auto"/>
            <w:vAlign w:val="center"/>
          </w:tcPr>
          <w:p w:rsidR="00E14DE7" w:rsidRDefault="00E14DE7" w:rsidP="00E14DE7">
            <w:pPr>
              <w:jc w:val="right"/>
            </w:pPr>
            <w:r>
              <w:rPr>
                <w:sz w:val="18"/>
                <w:szCs w:val="18"/>
              </w:rPr>
              <w:t>тыс. руб.</w:t>
            </w:r>
          </w:p>
        </w:tc>
      </w:tr>
    </w:tbl>
    <w:tbl>
      <w:tblPr>
        <w:tblStyle w:val="TableStyle28"/>
        <w:tblW w:w="15600" w:type="dxa"/>
        <w:tblInd w:w="57" w:type="dxa"/>
        <w:tblLayout w:type="fixed"/>
        <w:tblCellMar>
          <w:left w:w="57" w:type="dxa"/>
          <w:right w:w="57" w:type="dxa"/>
        </w:tblCellMar>
        <w:tblLook w:val="04A0" w:firstRow="1" w:lastRow="0" w:firstColumn="1" w:lastColumn="0" w:noHBand="0" w:noVBand="1"/>
      </w:tblPr>
      <w:tblGrid>
        <w:gridCol w:w="135"/>
        <w:gridCol w:w="735"/>
        <w:gridCol w:w="4530"/>
        <w:gridCol w:w="3390"/>
        <w:gridCol w:w="3405"/>
        <w:gridCol w:w="3405"/>
      </w:tblGrid>
      <w:tr w:rsidR="00E14DE7" w:rsidTr="00E14DE7">
        <w:trPr>
          <w:cantSplit/>
        </w:trPr>
        <w:tc>
          <w:tcPr>
            <w:tcW w:w="135" w:type="dxa"/>
            <w:shd w:val="clear" w:color="auto" w:fill="auto"/>
            <w:vAlign w:val="center"/>
          </w:tcPr>
          <w:p w:rsidR="00E14DE7" w:rsidRDefault="00E14DE7" w:rsidP="00E14DE7">
            <w:pPr>
              <w:ind w:left="105"/>
            </w:pPr>
          </w:p>
        </w:tc>
        <w:tc>
          <w:tcPr>
            <w:tcW w:w="735" w:type="dxa"/>
            <w:vMerge w:val="restart"/>
            <w:tcBorders>
              <w:top w:val="single" w:sz="5" w:space="0" w:color="auto"/>
              <w:left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530" w:type="dxa"/>
            <w:vMerge w:val="restart"/>
            <w:tcBorders>
              <w:top w:val="single" w:sz="5" w:space="0" w:color="auto"/>
              <w:left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3390"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r>
              <w:rPr>
                <w:b/>
                <w:sz w:val="18"/>
                <w:szCs w:val="18"/>
              </w:rPr>
              <w:t>Основные средства в собственности</w:t>
            </w:r>
          </w:p>
        </w:tc>
        <w:tc>
          <w:tcPr>
            <w:tcW w:w="340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r>
              <w:rPr>
                <w:b/>
                <w:sz w:val="18"/>
                <w:szCs w:val="18"/>
              </w:rPr>
              <w:t>Активы в форме права пользования, относящиеся к основным средствам</w:t>
            </w:r>
          </w:p>
        </w:tc>
        <w:tc>
          <w:tcPr>
            <w:tcW w:w="3405" w:type="dxa"/>
            <w:vMerge w:val="restart"/>
            <w:tcBorders>
              <w:top w:val="single" w:sz="5" w:space="0" w:color="auto"/>
              <w:left w:val="single" w:sz="5" w:space="0" w:color="auto"/>
              <w:right w:val="single" w:sz="5" w:space="0" w:color="auto"/>
            </w:tcBorders>
            <w:shd w:val="clear" w:color="auto" w:fill="auto"/>
            <w:vAlign w:val="center"/>
          </w:tcPr>
          <w:p w:rsidR="00E14DE7" w:rsidRDefault="00E14DE7" w:rsidP="00E14DE7">
            <w:pPr>
              <w:jc w:val="center"/>
            </w:pPr>
            <w:r>
              <w:rPr>
                <w:b/>
                <w:sz w:val="18"/>
                <w:szCs w:val="18"/>
              </w:rPr>
              <w:t>Итого</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vMerge/>
            <w:tcBorders>
              <w:top w:val="single" w:sz="5" w:space="0" w:color="auto"/>
              <w:left w:val="single" w:sz="5" w:space="0" w:color="auto"/>
              <w:right w:val="single" w:sz="5" w:space="0" w:color="auto"/>
            </w:tcBorders>
            <w:shd w:val="clear" w:color="auto" w:fill="auto"/>
            <w:vAlign w:val="center"/>
          </w:tcPr>
          <w:p w:rsidR="00E14DE7" w:rsidRDefault="00E14DE7" w:rsidP="00E14DE7"/>
        </w:tc>
        <w:tc>
          <w:tcPr>
            <w:tcW w:w="4530" w:type="dxa"/>
            <w:vMerge/>
            <w:tcBorders>
              <w:top w:val="single" w:sz="5" w:space="0" w:color="auto"/>
              <w:left w:val="single" w:sz="5" w:space="0" w:color="auto"/>
              <w:right w:val="single" w:sz="5" w:space="0" w:color="auto"/>
            </w:tcBorders>
            <w:shd w:val="clear" w:color="auto" w:fill="auto"/>
            <w:vAlign w:val="center"/>
          </w:tcPr>
          <w:p w:rsidR="00E14DE7" w:rsidRDefault="00E14DE7" w:rsidP="00E14DE7"/>
        </w:tc>
        <w:tc>
          <w:tcPr>
            <w:tcW w:w="3390"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r>
              <w:rPr>
                <w:b/>
                <w:sz w:val="18"/>
                <w:szCs w:val="18"/>
              </w:rPr>
              <w:t>Офисное и компьютерное оборудование</w:t>
            </w:r>
          </w:p>
        </w:tc>
        <w:tc>
          <w:tcPr>
            <w:tcW w:w="3405" w:type="dxa"/>
            <w:tcBorders>
              <w:top w:val="single" w:sz="5" w:space="0" w:color="auto"/>
              <w:left w:val="single" w:sz="5" w:space="0" w:color="auto"/>
              <w:bottom w:val="single" w:sz="5" w:space="0" w:color="auto"/>
            </w:tcBorders>
            <w:shd w:val="clear" w:color="auto" w:fill="auto"/>
            <w:vAlign w:val="center"/>
          </w:tcPr>
          <w:p w:rsidR="00E14DE7" w:rsidRDefault="00E14DE7" w:rsidP="00E14DE7">
            <w:pPr>
              <w:jc w:val="center"/>
            </w:pPr>
            <w:r>
              <w:rPr>
                <w:b/>
                <w:sz w:val="18"/>
                <w:szCs w:val="18"/>
              </w:rPr>
              <w:t>Земля, здания и сооружения</w:t>
            </w:r>
          </w:p>
        </w:tc>
        <w:tc>
          <w:tcPr>
            <w:tcW w:w="3405" w:type="dxa"/>
            <w:vMerge/>
            <w:tcBorders>
              <w:top w:val="single" w:sz="5" w:space="0" w:color="auto"/>
              <w:left w:val="single" w:sz="5" w:space="0" w:color="auto"/>
              <w:right w:val="single" w:sz="5" w:space="0" w:color="auto"/>
            </w:tcBorders>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01.01.2025 г., в том числе: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152</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4 957</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5 109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158</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5 650</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5 808</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(693)</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(699)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(40)</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(943)</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(983)</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11</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30.06.2025 г., в том числе: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112</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4 025</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4 138</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158</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5 661</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5 819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(46)</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(1 636)</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(1 681)</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01.01.2026 г., в том числе: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73</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3 085</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3 158</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158</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5 661</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5 819</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(85)</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(2 576)</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(2 661)</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(40)</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(1 057)</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(1 097)</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13</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382</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382</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14</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Балансовая стоимость на 30.06.2026 г., в том числе:</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33</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2 410</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2 443</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первоначальная (переоцененная) стоимость</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158</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6 044</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6 202</w:t>
            </w:r>
          </w:p>
        </w:tc>
      </w:tr>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16</w:t>
            </w:r>
          </w:p>
        </w:tc>
        <w:tc>
          <w:tcPr>
            <w:tcW w:w="453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накопленная амортизация</w:t>
            </w:r>
          </w:p>
        </w:tc>
        <w:tc>
          <w:tcPr>
            <w:tcW w:w="33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(125)</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(3 634)</w:t>
            </w:r>
          </w:p>
        </w:tc>
        <w:tc>
          <w:tcPr>
            <w:tcW w:w="34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(3 758)</w:t>
            </w:r>
          </w:p>
        </w:tc>
      </w:tr>
    </w:tbl>
    <w:tbl>
      <w:tblPr>
        <w:tblStyle w:val="TableStyle29"/>
        <w:tblW w:w="15600" w:type="dxa"/>
        <w:tblInd w:w="57" w:type="dxa"/>
        <w:tblLayout w:type="fixed"/>
        <w:tblCellMar>
          <w:left w:w="57" w:type="dxa"/>
          <w:right w:w="57" w:type="dxa"/>
        </w:tblCellMar>
        <w:tblLook w:val="04A0" w:firstRow="1" w:lastRow="0" w:firstColumn="1" w:lastColumn="0" w:noHBand="0" w:noVBand="1"/>
      </w:tblPr>
      <w:tblGrid>
        <w:gridCol w:w="135"/>
        <w:gridCol w:w="735"/>
        <w:gridCol w:w="1740"/>
        <w:gridCol w:w="12990"/>
      </w:tblGrid>
      <w:tr w:rsidR="00E14DE7" w:rsidTr="00E14DE7">
        <w:trPr>
          <w:cantSplit/>
        </w:trPr>
        <w:tc>
          <w:tcPr>
            <w:tcW w:w="135" w:type="dxa"/>
            <w:shd w:val="clear" w:color="auto" w:fill="auto"/>
            <w:vAlign w:val="center"/>
          </w:tcPr>
          <w:p w:rsidR="00E14DE7" w:rsidRDefault="00E14DE7" w:rsidP="00E14DE7">
            <w:pPr>
              <w:ind w:left="105"/>
            </w:pPr>
          </w:p>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17</w:t>
            </w:r>
          </w:p>
        </w:tc>
        <w:tc>
          <w:tcPr>
            <w:tcW w:w="174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both"/>
            </w:pPr>
            <w:r>
              <w:rPr>
                <w:sz w:val="18"/>
                <w:szCs w:val="18"/>
              </w:rPr>
              <w:t>Текстовое пояснение</w:t>
            </w:r>
          </w:p>
        </w:tc>
        <w:tc>
          <w:tcPr>
            <w:tcW w:w="129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У Общества отсутствуют </w:t>
            </w:r>
            <w:proofErr w:type="spellStart"/>
            <w:r>
              <w:rPr>
                <w:sz w:val="18"/>
                <w:szCs w:val="18"/>
              </w:rPr>
              <w:t>неамортизируемые</w:t>
            </w:r>
            <w:proofErr w:type="spellEnd"/>
            <w:r>
              <w:rPr>
                <w:sz w:val="18"/>
                <w:szCs w:val="18"/>
              </w:rPr>
              <w:t xml:space="preserve">, не используемые,  сданные  в аренду, полностью </w:t>
            </w:r>
            <w:proofErr w:type="spellStart"/>
            <w:r>
              <w:rPr>
                <w:sz w:val="18"/>
                <w:szCs w:val="18"/>
              </w:rPr>
              <w:t>самортизированные</w:t>
            </w:r>
            <w:proofErr w:type="spellEnd"/>
            <w:r>
              <w:rPr>
                <w:sz w:val="18"/>
                <w:szCs w:val="18"/>
              </w:rPr>
              <w:t xml:space="preserve"> объекты основных средств,  объекты ОС, в отношении которых существуют ограничения имущественных прав, в том числе переданных в залог.</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30"/>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tc>
        <w:tc>
          <w:tcPr>
            <w:tcW w:w="15465" w:type="dxa"/>
            <w:shd w:val="clear" w:color="auto" w:fill="auto"/>
            <w:vAlign w:val="center"/>
          </w:tcPr>
          <w:p w:rsidR="00E14DE7" w:rsidRDefault="00E14DE7" w:rsidP="00E14DE7">
            <w:pPr>
              <w:ind w:left="105"/>
            </w:pPr>
            <w:r>
              <w:rPr>
                <w:b/>
                <w:sz w:val="24"/>
                <w:szCs w:val="24"/>
              </w:rPr>
              <w:t>Примечание 9. Финансовые обязательства, оцениваемые по амортизированной стоимости: средства клиентов</w:t>
            </w:r>
          </w:p>
        </w:tc>
      </w:tr>
    </w:tbl>
    <w:tbl>
      <w:tblPr>
        <w:tblStyle w:val="TableStyle31"/>
        <w:tblW w:w="15600" w:type="dxa"/>
        <w:tblInd w:w="57" w:type="dxa"/>
        <w:tblLayout w:type="fixed"/>
        <w:tblCellMar>
          <w:left w:w="57" w:type="dxa"/>
          <w:right w:w="57" w:type="dxa"/>
        </w:tblCellMar>
        <w:tblLook w:val="04A0" w:firstRow="1" w:lastRow="0" w:firstColumn="1" w:lastColumn="0" w:noHBand="0" w:noVBand="1"/>
      </w:tblPr>
      <w:tblGrid>
        <w:gridCol w:w="135"/>
        <w:gridCol w:w="735"/>
        <w:gridCol w:w="1785"/>
        <w:gridCol w:w="4380"/>
        <w:gridCol w:w="856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center"/>
            </w:pPr>
            <w:r>
              <w:rPr>
                <w:b/>
                <w:sz w:val="22"/>
              </w:rPr>
              <w:t>Средства клиентов, оцениваемые по амортизированной стоимости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b/>
                <w:sz w:val="20"/>
                <w:szCs w:val="20"/>
              </w:rPr>
              <w:t>Таблица 9.1</w:t>
            </w:r>
          </w:p>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sz w:val="18"/>
                <w:szCs w:val="18"/>
              </w:rPr>
              <w:t>тыс. руб.</w:t>
            </w:r>
          </w:p>
        </w:tc>
      </w:tr>
    </w:tbl>
    <w:tbl>
      <w:tblPr>
        <w:tblStyle w:val="TableStyle32"/>
        <w:tblW w:w="15600" w:type="dxa"/>
        <w:tblInd w:w="57" w:type="dxa"/>
        <w:tblLayout w:type="fixed"/>
        <w:tblCellMar>
          <w:left w:w="57" w:type="dxa"/>
          <w:right w:w="57" w:type="dxa"/>
        </w:tblCellMar>
        <w:tblLook w:val="04A0" w:firstRow="1" w:lastRow="0" w:firstColumn="1" w:lastColumn="0" w:noHBand="0" w:noVBand="1"/>
      </w:tblPr>
      <w:tblGrid>
        <w:gridCol w:w="135"/>
        <w:gridCol w:w="735"/>
        <w:gridCol w:w="8490"/>
        <w:gridCol w:w="624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8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624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8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624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8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Средства клиентов, предназначенные для выплаты доходов по ценным бумагам</w:t>
            </w:r>
          </w:p>
        </w:tc>
        <w:tc>
          <w:tcPr>
            <w:tcW w:w="624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1 506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849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624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1 506</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33"/>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tc>
        <w:tc>
          <w:tcPr>
            <w:tcW w:w="15465" w:type="dxa"/>
            <w:shd w:val="clear" w:color="auto" w:fill="auto"/>
            <w:vAlign w:val="center"/>
          </w:tcPr>
          <w:p w:rsidR="00E14DE7" w:rsidRDefault="00E14DE7" w:rsidP="00E14DE7">
            <w:pPr>
              <w:ind w:left="105"/>
            </w:pPr>
            <w:r>
              <w:rPr>
                <w:b/>
                <w:sz w:val="24"/>
                <w:szCs w:val="24"/>
              </w:rPr>
              <w:t>Примечание 10. Финансовые обязательства, оцениваемые по амортизированной стоимости: кредиты, займы и прочие привлеченные средства</w:t>
            </w:r>
          </w:p>
        </w:tc>
      </w:tr>
    </w:tbl>
    <w:tbl>
      <w:tblPr>
        <w:tblStyle w:val="TableStyle34"/>
        <w:tblW w:w="15600" w:type="dxa"/>
        <w:tblInd w:w="57" w:type="dxa"/>
        <w:tblLayout w:type="fixed"/>
        <w:tblCellMar>
          <w:left w:w="57" w:type="dxa"/>
          <w:right w:w="57" w:type="dxa"/>
        </w:tblCellMar>
        <w:tblLook w:val="04A0" w:firstRow="1" w:lastRow="0" w:firstColumn="1" w:lastColumn="0" w:noHBand="0" w:noVBand="1"/>
      </w:tblPr>
      <w:tblGrid>
        <w:gridCol w:w="135"/>
        <w:gridCol w:w="735"/>
        <w:gridCol w:w="1785"/>
        <w:gridCol w:w="4380"/>
        <w:gridCol w:w="856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center"/>
            </w:pPr>
            <w:r>
              <w:rPr>
                <w:b/>
                <w:sz w:val="22"/>
              </w:rPr>
              <w:t>Кредиты, займы и прочие привлеченные средства, оцениваемые по амортизированной стоимости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b/>
                <w:sz w:val="20"/>
                <w:szCs w:val="20"/>
              </w:rPr>
              <w:t>Таблица 10.1</w:t>
            </w:r>
          </w:p>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sz w:val="18"/>
                <w:szCs w:val="18"/>
              </w:rPr>
              <w:t>тыс. руб.</w:t>
            </w:r>
          </w:p>
        </w:tc>
      </w:tr>
    </w:tbl>
    <w:tbl>
      <w:tblPr>
        <w:tblStyle w:val="TableStyle35"/>
        <w:tblW w:w="15600" w:type="dxa"/>
        <w:tblInd w:w="57" w:type="dxa"/>
        <w:tblLayout w:type="fixed"/>
        <w:tblCellMar>
          <w:left w:w="57" w:type="dxa"/>
          <w:right w:w="57" w:type="dxa"/>
        </w:tblCellMar>
        <w:tblLook w:val="04A0" w:firstRow="1" w:lastRow="0" w:firstColumn="1" w:lastColumn="0" w:noHBand="0" w:noVBand="1"/>
      </w:tblPr>
      <w:tblGrid>
        <w:gridCol w:w="135"/>
        <w:gridCol w:w="735"/>
        <w:gridCol w:w="5955"/>
        <w:gridCol w:w="4380"/>
        <w:gridCol w:w="439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31.12.2025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Обязательства по аренде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2 961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3 625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2 961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3 625</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36"/>
        <w:tblW w:w="15600" w:type="dxa"/>
        <w:tblInd w:w="57" w:type="dxa"/>
        <w:tblLayout w:type="fixed"/>
        <w:tblCellMar>
          <w:left w:w="57" w:type="dxa"/>
          <w:right w:w="57" w:type="dxa"/>
        </w:tblCellMar>
        <w:tblLook w:val="04A0" w:firstRow="1" w:lastRow="0" w:firstColumn="1" w:lastColumn="0" w:noHBand="0" w:noVBand="1"/>
      </w:tblPr>
      <w:tblGrid>
        <w:gridCol w:w="135"/>
        <w:gridCol w:w="15465"/>
      </w:tblGrid>
      <w:tr w:rsidR="00E14DE7" w:rsidTr="00E14DE7">
        <w:trPr>
          <w:cantSplit/>
        </w:trPr>
        <w:tc>
          <w:tcPr>
            <w:tcW w:w="135" w:type="dxa"/>
            <w:shd w:val="clear" w:color="auto" w:fill="auto"/>
            <w:vAlign w:val="center"/>
          </w:tcPr>
          <w:p w:rsidR="00E14DE7" w:rsidRDefault="00E14DE7" w:rsidP="00E14DE7"/>
        </w:tc>
        <w:tc>
          <w:tcPr>
            <w:tcW w:w="15465" w:type="dxa"/>
            <w:shd w:val="clear" w:color="auto" w:fill="auto"/>
            <w:vAlign w:val="center"/>
          </w:tcPr>
          <w:p w:rsidR="00E14DE7" w:rsidRDefault="00E14DE7" w:rsidP="00E14DE7">
            <w:pPr>
              <w:ind w:left="105"/>
            </w:pPr>
            <w:r>
              <w:rPr>
                <w:b/>
                <w:sz w:val="24"/>
                <w:szCs w:val="24"/>
              </w:rPr>
              <w:t>Примечание 11. Финансовые обязательства, оцениваемые по амортизированной стоимости: кредиторская задолженность</w:t>
            </w:r>
          </w:p>
        </w:tc>
      </w:tr>
    </w:tbl>
    <w:tbl>
      <w:tblPr>
        <w:tblStyle w:val="TableStyle37"/>
        <w:tblW w:w="15600" w:type="dxa"/>
        <w:tblInd w:w="57" w:type="dxa"/>
        <w:tblLayout w:type="fixed"/>
        <w:tblCellMar>
          <w:left w:w="57" w:type="dxa"/>
          <w:right w:w="57" w:type="dxa"/>
        </w:tblCellMar>
        <w:tblLook w:val="04A0" w:firstRow="1" w:lastRow="0" w:firstColumn="1" w:lastColumn="0" w:noHBand="0" w:noVBand="1"/>
      </w:tblPr>
      <w:tblGrid>
        <w:gridCol w:w="135"/>
        <w:gridCol w:w="735"/>
        <w:gridCol w:w="1785"/>
        <w:gridCol w:w="4380"/>
        <w:gridCol w:w="856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center"/>
            </w:pPr>
            <w:r>
              <w:rPr>
                <w:b/>
                <w:sz w:val="22"/>
              </w:rPr>
              <w:t>Кредиторская задолженность, оцениваемая по амортизированной стоимости</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4380" w:type="dxa"/>
            <w:shd w:val="clear" w:color="auto" w:fill="auto"/>
            <w:vAlign w:val="center"/>
          </w:tcPr>
          <w:p w:rsidR="00E14DE7" w:rsidRDefault="00E14DE7" w:rsidP="00E14DE7"/>
        </w:tc>
        <w:tc>
          <w:tcPr>
            <w:tcW w:w="856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b/>
                <w:sz w:val="20"/>
                <w:szCs w:val="20"/>
              </w:rPr>
              <w:t>Таблица 11.1</w:t>
            </w:r>
          </w:p>
        </w:tc>
      </w:tr>
      <w:tr w:rsidR="00E14DE7" w:rsidTr="00E14DE7">
        <w:trPr>
          <w:cantSplit/>
        </w:trPr>
        <w:tc>
          <w:tcPr>
            <w:tcW w:w="135" w:type="dxa"/>
            <w:shd w:val="clear" w:color="auto" w:fill="auto"/>
            <w:vAlign w:val="center"/>
          </w:tcPr>
          <w:p w:rsidR="00E14DE7" w:rsidRDefault="00E14DE7" w:rsidP="00E14DE7"/>
        </w:tc>
        <w:tc>
          <w:tcPr>
            <w:tcW w:w="15465" w:type="dxa"/>
            <w:gridSpan w:val="4"/>
            <w:shd w:val="clear" w:color="auto" w:fill="auto"/>
            <w:vAlign w:val="center"/>
          </w:tcPr>
          <w:p w:rsidR="00E14DE7" w:rsidRDefault="00E14DE7" w:rsidP="00E14DE7">
            <w:pPr>
              <w:jc w:val="right"/>
            </w:pPr>
            <w:r>
              <w:rPr>
                <w:sz w:val="18"/>
                <w:szCs w:val="18"/>
              </w:rPr>
              <w:t>тыс. руб.</w:t>
            </w:r>
          </w:p>
        </w:tc>
      </w:tr>
    </w:tbl>
    <w:tbl>
      <w:tblPr>
        <w:tblStyle w:val="TableStyle38"/>
        <w:tblW w:w="15600" w:type="dxa"/>
        <w:tblInd w:w="57" w:type="dxa"/>
        <w:tblLayout w:type="fixed"/>
        <w:tblCellMar>
          <w:left w:w="57" w:type="dxa"/>
          <w:right w:w="57" w:type="dxa"/>
        </w:tblCellMar>
        <w:tblLook w:val="04A0" w:firstRow="1" w:lastRow="0" w:firstColumn="1" w:lastColumn="0" w:noHBand="0" w:noVBand="1"/>
      </w:tblPr>
      <w:tblGrid>
        <w:gridCol w:w="135"/>
        <w:gridCol w:w="735"/>
        <w:gridCol w:w="5955"/>
        <w:gridCol w:w="4380"/>
        <w:gridCol w:w="439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30.06.2026 г.</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 31.12.2025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по информационно-технологическим услугам</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1 701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по услугам по содержанию и аренде помещений</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перед депозитариями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перед регистраторами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Кредиторская задолженность по торговым операциям, в том числе: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321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кредиторская задолженность перед клиентами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321</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за аудиторские услуги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250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задолженность за консультационные услуги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32</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Кредиторская за</w:t>
            </w:r>
            <w:r w:rsidR="005009DF">
              <w:rPr>
                <w:sz w:val="18"/>
                <w:szCs w:val="18"/>
              </w:rPr>
              <w:t>долженность за транспортно-экспе</w:t>
            </w:r>
            <w:r>
              <w:rPr>
                <w:sz w:val="18"/>
                <w:szCs w:val="18"/>
              </w:rPr>
              <w:t>диционные услуги (экспресс-доставка корреспонденции)</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595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438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2 066</w:t>
            </w:r>
          </w:p>
        </w:tc>
        <w:tc>
          <w:tcPr>
            <w:tcW w:w="439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287</w:t>
            </w:r>
          </w:p>
        </w:tc>
      </w:tr>
    </w:tbl>
    <w:p w:rsidR="00E14DE7" w:rsidRDefault="00E14DE7" w:rsidP="00E14DE7">
      <w:pPr>
        <w:sectPr w:rsidR="00E14DE7">
          <w:pgSz w:w="16839" w:h="11907" w:orient="landscape"/>
          <w:pgMar w:top="567" w:right="567" w:bottom="567" w:left="567" w:header="720" w:footer="720" w:gutter="0"/>
          <w:cols w:space="720"/>
        </w:sectPr>
      </w:pPr>
    </w:p>
    <w:tbl>
      <w:tblPr>
        <w:tblStyle w:val="TableStyle39"/>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12. Процентные доходы</w:t>
            </w:r>
          </w:p>
        </w:tc>
      </w:tr>
    </w:tbl>
    <w:tbl>
      <w:tblPr>
        <w:tblStyle w:val="TableStyle40"/>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tcBorders>
              <w:left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Процентные доходы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tcBorders>
              <w:left w:val="none" w:sz="5" w:space="0" w:color="auto"/>
              <w:bottom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12.1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41"/>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 xml:space="preserve">По </w:t>
            </w:r>
            <w:proofErr w:type="spellStart"/>
            <w:r>
              <w:rPr>
                <w:b/>
                <w:sz w:val="18"/>
                <w:szCs w:val="18"/>
              </w:rPr>
              <w:t>необесцененным</w:t>
            </w:r>
            <w:proofErr w:type="spellEnd"/>
            <w:r>
              <w:rPr>
                <w:b/>
                <w:sz w:val="18"/>
                <w:szCs w:val="18"/>
              </w:rPr>
              <w:t xml:space="preserve"> финансовым активам, в том числе: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10 144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9 779</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по финансовым активам, оцениваемым по амортизированной стоимости: средствам в кредитных организациях и банках-нерезидентах</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3 093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315"/>
            </w:pPr>
            <w:r>
              <w:rPr>
                <w:sz w:val="18"/>
                <w:szCs w:val="18"/>
              </w:rPr>
              <w:t xml:space="preserve">по минимальному неснижаемому остатку денежных средств </w:t>
            </w:r>
            <w:proofErr w:type="gramStart"/>
            <w:r>
              <w:rPr>
                <w:sz w:val="18"/>
                <w:szCs w:val="18"/>
              </w:rPr>
              <w:t>на</w:t>
            </w:r>
            <w:proofErr w:type="gramEnd"/>
            <w:r>
              <w:rPr>
                <w:sz w:val="18"/>
                <w:szCs w:val="18"/>
              </w:rPr>
              <w:t xml:space="preserve"> </w:t>
            </w:r>
            <w:proofErr w:type="gramStart"/>
            <w:r>
              <w:rPr>
                <w:sz w:val="18"/>
                <w:szCs w:val="18"/>
              </w:rPr>
              <w:t>расчетом</w:t>
            </w:r>
            <w:proofErr w:type="gramEnd"/>
            <w:r>
              <w:rPr>
                <w:sz w:val="18"/>
                <w:szCs w:val="18"/>
              </w:rPr>
              <w:t xml:space="preserve"> счете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10 144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6 686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10 144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9 779</w:t>
            </w:r>
          </w:p>
        </w:tc>
      </w:tr>
    </w:tbl>
    <w:tbl>
      <w:tblPr>
        <w:tblStyle w:val="TableStyle42"/>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Процентные доходы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12.1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4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 xml:space="preserve">По </w:t>
            </w:r>
            <w:proofErr w:type="spellStart"/>
            <w:r>
              <w:rPr>
                <w:b/>
                <w:sz w:val="18"/>
                <w:szCs w:val="18"/>
              </w:rPr>
              <w:t>необесцененным</w:t>
            </w:r>
            <w:proofErr w:type="spellEnd"/>
            <w:r>
              <w:rPr>
                <w:b/>
                <w:sz w:val="18"/>
                <w:szCs w:val="18"/>
              </w:rPr>
              <w:t xml:space="preserve"> финансовым активам, в том числе: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5 099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4 912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315"/>
            </w:pPr>
            <w:r>
              <w:rPr>
                <w:sz w:val="18"/>
                <w:szCs w:val="18"/>
              </w:rPr>
              <w:t xml:space="preserve">по минимальному неснижаемому остатку денежных средств </w:t>
            </w:r>
            <w:proofErr w:type="gramStart"/>
            <w:r>
              <w:rPr>
                <w:sz w:val="18"/>
                <w:szCs w:val="18"/>
              </w:rPr>
              <w:t>на</w:t>
            </w:r>
            <w:proofErr w:type="gramEnd"/>
            <w:r>
              <w:rPr>
                <w:sz w:val="18"/>
                <w:szCs w:val="18"/>
              </w:rPr>
              <w:t xml:space="preserve"> </w:t>
            </w:r>
            <w:proofErr w:type="gramStart"/>
            <w:r>
              <w:rPr>
                <w:sz w:val="18"/>
                <w:szCs w:val="18"/>
              </w:rPr>
              <w:t>расчетом</w:t>
            </w:r>
            <w:proofErr w:type="gramEnd"/>
            <w:r>
              <w:rPr>
                <w:sz w:val="18"/>
                <w:szCs w:val="18"/>
              </w:rPr>
              <w:t xml:space="preserve"> счете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5 099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4 912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5 099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4 912</w:t>
            </w:r>
          </w:p>
        </w:tc>
      </w:tr>
    </w:tbl>
    <w:p w:rsidR="00E14DE7" w:rsidRDefault="00E14DE7" w:rsidP="00E14DE7">
      <w:pPr>
        <w:sectPr w:rsidR="00E14DE7">
          <w:pgSz w:w="11907" w:h="16839"/>
          <w:pgMar w:top="567" w:right="567" w:bottom="567" w:left="567" w:header="720" w:footer="720" w:gutter="0"/>
          <w:cols w:space="720"/>
        </w:sectPr>
      </w:pPr>
    </w:p>
    <w:tbl>
      <w:tblPr>
        <w:tblStyle w:val="TableStyle44"/>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13. Доходы за вычетом расходов (расходы за вычетом доходов) от операций с иностранной валютой</w:t>
            </w:r>
          </w:p>
        </w:tc>
      </w:tr>
    </w:tbl>
    <w:tbl>
      <w:tblPr>
        <w:tblStyle w:val="TableStyle45"/>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Доходы за вычетом расходов (расходы за вычетом доходов) от операций с иностранной валютой</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13.1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46"/>
        <w:tblW w:w="10560" w:type="dxa"/>
        <w:tblInd w:w="57" w:type="dxa"/>
        <w:tblLayout w:type="fixed"/>
        <w:tblCellMar>
          <w:left w:w="57" w:type="dxa"/>
          <w:right w:w="57" w:type="dxa"/>
        </w:tblCellMar>
        <w:tblLook w:val="04A0" w:firstRow="1" w:lastRow="0" w:firstColumn="1" w:lastColumn="0" w:noHBand="0" w:noVBand="1"/>
      </w:tblPr>
      <w:tblGrid>
        <w:gridCol w:w="135"/>
        <w:gridCol w:w="735"/>
        <w:gridCol w:w="5970"/>
        <w:gridCol w:w="372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Доходы (расходы) от операций купли-продажи иностранной валюты</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Доходы (расходы) от переоценки средств в иностранной валюте</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(76)</w:t>
            </w:r>
          </w:p>
        </w:tc>
      </w:tr>
    </w:tbl>
    <w:tbl>
      <w:tblPr>
        <w:tblStyle w:val="TableStyle47"/>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Доходы за вычетом расходов (расходы за вычетом доходов) от операций с иностранной валютой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13.1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48"/>
        <w:tblW w:w="10560" w:type="dxa"/>
        <w:tblInd w:w="57" w:type="dxa"/>
        <w:tblLayout w:type="fixed"/>
        <w:tblCellMar>
          <w:left w:w="57" w:type="dxa"/>
          <w:right w:w="57" w:type="dxa"/>
        </w:tblCellMar>
        <w:tblLook w:val="04A0" w:firstRow="1" w:lastRow="0" w:firstColumn="1" w:lastColumn="0" w:noHBand="0" w:noVBand="1"/>
      </w:tblPr>
      <w:tblGrid>
        <w:gridCol w:w="135"/>
        <w:gridCol w:w="735"/>
        <w:gridCol w:w="5970"/>
        <w:gridCol w:w="372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Доходы (расходы) от операций купли-продажи иностранной валюты</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Доходы (расходы) от переоценки средств в иностранной валюте</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597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372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(32)</w:t>
            </w:r>
          </w:p>
        </w:tc>
      </w:tr>
    </w:tbl>
    <w:p w:rsidR="00E14DE7" w:rsidRDefault="00E14DE7" w:rsidP="00E14DE7">
      <w:pPr>
        <w:sectPr w:rsidR="00E14DE7">
          <w:pgSz w:w="11907" w:h="16839"/>
          <w:pgMar w:top="567" w:right="567" w:bottom="567" w:left="567" w:header="720" w:footer="720" w:gutter="0"/>
          <w:cols w:space="720"/>
        </w:sectPr>
      </w:pPr>
    </w:p>
    <w:tbl>
      <w:tblPr>
        <w:tblStyle w:val="TableStyle49"/>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14. Выручка от оказания услуг и комиссионные доходы</w:t>
            </w:r>
          </w:p>
        </w:tc>
      </w:tr>
    </w:tbl>
    <w:tbl>
      <w:tblPr>
        <w:tblStyle w:val="TableStyle50"/>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Выручка от оказания услуг и комиссионные доходы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14.1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51"/>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II. Выручка от оказания услуг по ведению реестра владельцев ценных бумаг</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ведению реестра владельцев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320</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320</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IV. Выручка от оказания услуг по деятельности депозитария</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ведению счетов депо, хранению и учету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2 679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1 182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проведению операций по счетам депо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447</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608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сопутствующих услуг по депозитарной деятельности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3 126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1 790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VI. Выручка по другим видам деятельности</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специализированного депозитария по учету, контролю и хранению имущества (за исключением услуг по хранению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49 824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5 340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49 824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5 340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VII. Прочие доходы по основному виду деятельности</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315"/>
            </w:pPr>
            <w:r>
              <w:rPr>
                <w:sz w:val="18"/>
                <w:szCs w:val="18"/>
              </w:rPr>
              <w:t>Прочая выручка по основному виду деятельности за оказание дополнительных услуг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3 486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2 154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3 486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2 154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Всего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56 756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9 284</w:t>
            </w:r>
          </w:p>
        </w:tc>
      </w:tr>
    </w:tbl>
    <w:tbl>
      <w:tblPr>
        <w:tblStyle w:val="TableStyle52"/>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Выручка от оказания услуг и комиссионные доходы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14.1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5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II. Выручка от оказания услуг по ведению реестра владельцев ценных бумаг</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ведению реестра владельцев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135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135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IV. Выручка от оказания услуг по деятельности депозитария</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ведению счетов депо, хранению и учету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1 114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1 082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по проведению операций по счетам депо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212</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608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сопутствующих услуг по депозитарной деятельности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1 326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1 690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VI. Выручка по другим видам деятельности</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sz w:val="18"/>
                <w:szCs w:val="18"/>
              </w:rPr>
              <w:t>Выручка от оказания услуг специализированного депозитария по учету, контролю и хранению имущества (за исключением услуг по хранению ценных бумаг)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25 409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3 662</w:t>
            </w:r>
          </w:p>
        </w:tc>
      </w:tr>
    </w:tbl>
    <w:p w:rsidR="00E14DE7" w:rsidRDefault="00E14DE7" w:rsidP="00E14DE7">
      <w:r>
        <w:br w:type="page"/>
      </w:r>
    </w:p>
    <w:tbl>
      <w:tblPr>
        <w:tblStyle w:val="TableStyle5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25 409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3 662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430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ind w:left="105"/>
            </w:pPr>
            <w:r>
              <w:rPr>
                <w:b/>
                <w:sz w:val="18"/>
                <w:szCs w:val="18"/>
              </w:rPr>
              <w:t>Раздел VII. Прочие доходы по основному виду деятельности</w:t>
            </w:r>
          </w:p>
        </w:tc>
        <w:tc>
          <w:tcPr>
            <w:tcW w:w="2685" w:type="dxa"/>
            <w:tcBorders>
              <w:top w:val="single" w:sz="5" w:space="0" w:color="auto"/>
              <w:left w:val="none" w:sz="5" w:space="0" w:color="auto"/>
              <w:bottom w:val="single" w:sz="5" w:space="0" w:color="auto"/>
              <w:right w:val="none" w:sz="5" w:space="0" w:color="auto"/>
            </w:tcBorders>
            <w:shd w:val="clear" w:color="auto" w:fill="auto"/>
            <w:vAlign w:val="center"/>
          </w:tcPr>
          <w:p w:rsidR="00E14DE7" w:rsidRDefault="00E14DE7" w:rsidP="00E14DE7">
            <w:pPr>
              <w:jc w:val="center"/>
            </w:pPr>
          </w:p>
        </w:tc>
        <w:tc>
          <w:tcPr>
            <w:tcW w:w="2700" w:type="dxa"/>
            <w:tcBorders>
              <w:top w:val="single" w:sz="5" w:space="0" w:color="auto"/>
              <w:left w:val="none" w:sz="5" w:space="0" w:color="auto"/>
              <w:bottom w:val="single" w:sz="5" w:space="0" w:color="auto"/>
              <w:right w:val="single" w:sz="5" w:space="0" w:color="auto"/>
            </w:tcBorders>
            <w:shd w:val="clear" w:color="auto" w:fill="auto"/>
            <w:vAlign w:val="center"/>
          </w:tcPr>
          <w:p w:rsidR="00E14DE7" w:rsidRDefault="00E14DE7" w:rsidP="00E14DE7">
            <w:pPr>
              <w:jc w:val="center"/>
            </w:pP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315"/>
            </w:pPr>
            <w:r>
              <w:rPr>
                <w:sz w:val="18"/>
                <w:szCs w:val="18"/>
              </w:rPr>
              <w:t>Прочая выручка по основному виду деятельности за оказание дополнительных услуг</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2 061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1 229</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210"/>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2 061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1 229</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Всего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28 930</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6 580</w:t>
            </w:r>
          </w:p>
        </w:tc>
      </w:tr>
    </w:tbl>
    <w:p w:rsidR="00E14DE7" w:rsidRDefault="00E14DE7" w:rsidP="00E14DE7">
      <w:pPr>
        <w:sectPr w:rsidR="00E14DE7">
          <w:pgSz w:w="11907" w:h="16839"/>
          <w:pgMar w:top="567" w:right="567" w:bottom="567" w:left="567" w:header="720" w:footer="720" w:gutter="0"/>
          <w:cols w:space="720"/>
        </w:sectPr>
      </w:pPr>
    </w:p>
    <w:tbl>
      <w:tblPr>
        <w:tblStyle w:val="TableStyle54"/>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15. Расходы на персонал</w:t>
            </w:r>
          </w:p>
        </w:tc>
      </w:tr>
    </w:tbl>
    <w:tbl>
      <w:tblPr>
        <w:tblStyle w:val="TableStyle55"/>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tcBorders>
              <w:left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Расходы на персонал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tcBorders>
              <w:left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15.1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56"/>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выплате краткосрочных вознаграждений работникам</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5 965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2 636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Страховые взносы с выплат вознаграждений работникам</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1 795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672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7 783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3 313</w:t>
            </w:r>
          </w:p>
        </w:tc>
      </w:tr>
    </w:tbl>
    <w:tbl>
      <w:tblPr>
        <w:tblStyle w:val="TableStyle57"/>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790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proofErr w:type="spellStart"/>
            <w:r>
              <w:rPr>
                <w:sz w:val="18"/>
                <w:szCs w:val="18"/>
              </w:rPr>
              <w:t>Текстовоое</w:t>
            </w:r>
            <w:proofErr w:type="spellEnd"/>
            <w:r>
              <w:rPr>
                <w:sz w:val="18"/>
                <w:szCs w:val="18"/>
              </w:rPr>
              <w:t xml:space="preserve"> пояснение</w:t>
            </w:r>
          </w:p>
        </w:tc>
        <w:tc>
          <w:tcPr>
            <w:tcW w:w="79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персонал  включают расходы по заработной плате за 1 полугодие 2026 года в размере 5 965 тысяч рублей.</w:t>
            </w:r>
          </w:p>
          <w:p w:rsidR="00E14DE7" w:rsidRDefault="00E14DE7" w:rsidP="00E14DE7">
            <w:pPr>
              <w:ind w:left="105"/>
            </w:pPr>
            <w:r>
              <w:rPr>
                <w:sz w:val="18"/>
                <w:szCs w:val="18"/>
              </w:rPr>
              <w:t>Страховые взносы с выплат вознаграждений работникам за 1 полугодие 2026 года включают установленные законодательством Российской Федерации страховые взносы в государственные внебюджетные фонды в размере 1 795 тысяч рублей</w:t>
            </w:r>
            <w:proofErr w:type="gramStart"/>
            <w:r>
              <w:rPr>
                <w:sz w:val="18"/>
                <w:szCs w:val="18"/>
              </w:rPr>
              <w:t>."</w:t>
            </w:r>
            <w:proofErr w:type="gramEnd"/>
          </w:p>
        </w:tc>
      </w:tr>
    </w:tbl>
    <w:tbl>
      <w:tblPr>
        <w:tblStyle w:val="TableStyle58"/>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Расходы на персонал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15.1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59"/>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выплате краткосрочных вознаграждений работникам</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3 417</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1 471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Страховые взносы с выплат вознаграждений работникам</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1 028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374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4 469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1 849</w:t>
            </w:r>
          </w:p>
        </w:tc>
      </w:tr>
    </w:tbl>
    <w:p w:rsidR="00E14DE7" w:rsidRDefault="00E14DE7" w:rsidP="00E14DE7">
      <w:pPr>
        <w:sectPr w:rsidR="00E14DE7">
          <w:pgSz w:w="11907" w:h="16839"/>
          <w:pgMar w:top="567" w:right="567" w:bottom="567" w:left="567" w:header="720" w:footer="720" w:gutter="0"/>
          <w:cols w:space="720"/>
        </w:sectPr>
      </w:pPr>
    </w:p>
    <w:tbl>
      <w:tblPr>
        <w:tblStyle w:val="TableStyle60"/>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16. Прямые операционные расходы</w:t>
            </w:r>
          </w:p>
        </w:tc>
      </w:tr>
    </w:tbl>
    <w:tbl>
      <w:tblPr>
        <w:tblStyle w:val="TableStyle61"/>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tcBorders>
              <w:left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Прямые операционные расходы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tcBorders>
              <w:left w:val="none" w:sz="5" w:space="0" w:color="auto"/>
              <w:right w:val="none" w:sz="5" w:space="0" w:color="auto"/>
            </w:tcBorders>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16.1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62"/>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услуги депозитариев и регистраторов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32</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взносам в профессиональные ассоциации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188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279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72</w:t>
            </w:r>
          </w:p>
        </w:tc>
      </w:tr>
    </w:tbl>
    <w:tbl>
      <w:tblPr>
        <w:tblStyle w:val="TableStyle6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Прямые операционные расходы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16.1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64"/>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услуги депозитариев и регистраторов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взносам в профессиональные ассоциации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94</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137</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55</w:t>
            </w:r>
          </w:p>
        </w:tc>
      </w:tr>
    </w:tbl>
    <w:p w:rsidR="00E14DE7" w:rsidRDefault="00E14DE7" w:rsidP="00E14DE7">
      <w:pPr>
        <w:sectPr w:rsidR="00E14DE7">
          <w:pgSz w:w="11907" w:h="16839"/>
          <w:pgMar w:top="567" w:right="567" w:bottom="567" w:left="567" w:header="720" w:footer="720" w:gutter="0"/>
          <w:cols w:space="720"/>
        </w:sectPr>
      </w:pPr>
    </w:p>
    <w:tbl>
      <w:tblPr>
        <w:tblStyle w:val="TableStyle65"/>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17. Процентные расходы</w:t>
            </w:r>
          </w:p>
        </w:tc>
      </w:tr>
    </w:tbl>
    <w:tbl>
      <w:tblPr>
        <w:tblStyle w:val="TableStyle66"/>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Процентные расходы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17.1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67"/>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По обязательствам по аренде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496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688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496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688</w:t>
            </w:r>
          </w:p>
        </w:tc>
      </w:tr>
    </w:tbl>
    <w:tbl>
      <w:tblPr>
        <w:tblStyle w:val="TableStyle68"/>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7905"/>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17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Текстовое пояснение</w:t>
            </w:r>
          </w:p>
        </w:tc>
        <w:tc>
          <w:tcPr>
            <w:tcW w:w="79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 xml:space="preserve">В связи с применением МСФО 16 "Аренда" в таблице отражены процентные расходы по обязательствам по аренде, отнесенной Обществом </w:t>
            </w:r>
            <w:proofErr w:type="gramStart"/>
            <w:r>
              <w:rPr>
                <w:sz w:val="18"/>
                <w:szCs w:val="18"/>
              </w:rPr>
              <w:t>к</w:t>
            </w:r>
            <w:proofErr w:type="gramEnd"/>
            <w:r>
              <w:rPr>
                <w:sz w:val="18"/>
                <w:szCs w:val="18"/>
              </w:rPr>
              <w:t xml:space="preserve"> долгосрочной, исходя из предполагаемого срока аренды.</w:t>
            </w:r>
          </w:p>
        </w:tc>
      </w:tr>
    </w:tbl>
    <w:tbl>
      <w:tblPr>
        <w:tblStyle w:val="TableStyle69"/>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Процентные расходы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17.1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70"/>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По обязательствам по аренде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232</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335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232</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335</w:t>
            </w:r>
          </w:p>
        </w:tc>
      </w:tr>
    </w:tbl>
    <w:p w:rsidR="00E14DE7" w:rsidRDefault="00E14DE7" w:rsidP="00E14DE7">
      <w:pPr>
        <w:sectPr w:rsidR="00E14DE7">
          <w:pgSz w:w="11907" w:h="16839"/>
          <w:pgMar w:top="567" w:right="567" w:bottom="567" w:left="567" w:header="720" w:footer="720" w:gutter="0"/>
          <w:cols w:space="720"/>
        </w:sectPr>
      </w:pPr>
    </w:p>
    <w:tbl>
      <w:tblPr>
        <w:tblStyle w:val="TableStyle71"/>
        <w:tblW w:w="10560" w:type="dxa"/>
        <w:tblInd w:w="57" w:type="dxa"/>
        <w:tblLayout w:type="fixed"/>
        <w:tblCellMar>
          <w:left w:w="57" w:type="dxa"/>
          <w:right w:w="57" w:type="dxa"/>
        </w:tblCellMar>
        <w:tblLook w:val="04A0" w:firstRow="1" w:lastRow="0" w:firstColumn="1" w:lastColumn="0" w:noHBand="0" w:noVBand="1"/>
      </w:tblPr>
      <w:tblGrid>
        <w:gridCol w:w="135"/>
        <w:gridCol w:w="10425"/>
      </w:tblGrid>
      <w:tr w:rsidR="00E14DE7" w:rsidTr="00E14DE7">
        <w:trPr>
          <w:cantSplit/>
        </w:trPr>
        <w:tc>
          <w:tcPr>
            <w:tcW w:w="135" w:type="dxa"/>
            <w:shd w:val="clear" w:color="auto" w:fill="auto"/>
            <w:vAlign w:val="center"/>
          </w:tcPr>
          <w:p w:rsidR="00E14DE7" w:rsidRDefault="00E14DE7" w:rsidP="00E14DE7"/>
        </w:tc>
        <w:tc>
          <w:tcPr>
            <w:tcW w:w="10425" w:type="dxa"/>
            <w:shd w:val="clear" w:color="auto" w:fill="auto"/>
            <w:vAlign w:val="center"/>
          </w:tcPr>
          <w:p w:rsidR="00E14DE7" w:rsidRDefault="00E14DE7" w:rsidP="00E14DE7">
            <w:pPr>
              <w:ind w:left="105"/>
            </w:pPr>
            <w:r>
              <w:rPr>
                <w:b/>
                <w:sz w:val="24"/>
                <w:szCs w:val="24"/>
              </w:rPr>
              <w:t>Примечание 18. Общие и административные расходы</w:t>
            </w:r>
          </w:p>
        </w:tc>
      </w:tr>
    </w:tbl>
    <w:tbl>
      <w:tblPr>
        <w:tblStyle w:val="TableStyle72"/>
        <w:tblW w:w="10560"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522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Общие и административные расходы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522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18.1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73"/>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1 полугодие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информационно-телекоммуникационные услуги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5 968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3 437</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 основных средств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1 097</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983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 нематериальных активов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2 669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1 776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аренде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операциям с основными средствами, нематериальными активами и капитальными вложениями в объекты основных средств и нематериальных активов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юридические, консультационные услуги и аудит</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246</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624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Транспортные расходы</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Неустойки (штрафы, пени)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услуги кредитных организаций и банков-нерезидентов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227</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55</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Плата за право пользования объектами интеллектуальной собственности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1 905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1 796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списанию стоимости запасов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12 301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8 842</w:t>
            </w:r>
          </w:p>
        </w:tc>
      </w:tr>
    </w:tbl>
    <w:tbl>
      <w:tblPr>
        <w:tblStyle w:val="TableStyle74"/>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center"/>
            </w:pPr>
            <w:r>
              <w:rPr>
                <w:b/>
                <w:sz w:val="22"/>
              </w:rPr>
              <w:t>Общие и административные расходы (За последний квартал)</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430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2700"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b/>
                <w:sz w:val="20"/>
                <w:szCs w:val="20"/>
              </w:rPr>
              <w:t>Таблица 18.1</w:t>
            </w:r>
          </w:p>
        </w:tc>
      </w:tr>
      <w:tr w:rsidR="00E14DE7" w:rsidTr="00E14DE7">
        <w:trPr>
          <w:cantSplit/>
        </w:trPr>
        <w:tc>
          <w:tcPr>
            <w:tcW w:w="135" w:type="dxa"/>
            <w:shd w:val="clear" w:color="auto" w:fill="auto"/>
            <w:vAlign w:val="center"/>
          </w:tcPr>
          <w:p w:rsidR="00E14DE7" w:rsidRDefault="00E14DE7" w:rsidP="00E14DE7"/>
        </w:tc>
        <w:tc>
          <w:tcPr>
            <w:tcW w:w="10425" w:type="dxa"/>
            <w:gridSpan w:val="4"/>
            <w:shd w:val="clear" w:color="auto" w:fill="auto"/>
            <w:vAlign w:val="center"/>
          </w:tcPr>
          <w:p w:rsidR="00E14DE7" w:rsidRDefault="00E14DE7" w:rsidP="00E14DE7">
            <w:pPr>
              <w:jc w:val="right"/>
            </w:pPr>
            <w:r>
              <w:rPr>
                <w:sz w:val="18"/>
                <w:szCs w:val="18"/>
              </w:rPr>
              <w:t>тыс. руб.</w:t>
            </w:r>
          </w:p>
        </w:tc>
      </w:tr>
    </w:tbl>
    <w:tbl>
      <w:tblPr>
        <w:tblStyle w:val="TableStyle75"/>
        <w:tblW w:w="10560" w:type="dxa"/>
        <w:tblInd w:w="57" w:type="dxa"/>
        <w:tblLayout w:type="fixed"/>
        <w:tblCellMar>
          <w:left w:w="57" w:type="dxa"/>
          <w:right w:w="57" w:type="dxa"/>
        </w:tblCellMar>
        <w:tblLook w:val="04A0" w:firstRow="1" w:lastRow="0" w:firstColumn="1" w:lastColumn="0" w:noHBand="0" w:noVBand="1"/>
      </w:tblPr>
      <w:tblGrid>
        <w:gridCol w:w="135"/>
        <w:gridCol w:w="735"/>
        <w:gridCol w:w="4305"/>
        <w:gridCol w:w="2685"/>
        <w:gridCol w:w="2700"/>
      </w:tblGrid>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2026 г.</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За 2 квартал 2025 г.</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информационно-телекоммуникационные услуги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4 549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1 283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 основных средств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548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490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Амортизация нематериальных активов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1 378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930</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аренде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49</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операциям с основными средствами, нематериальными активами и капитальными вложениями в объекты основных средств и нематериальных активов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5</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6</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юридические, консультационные услуги и аудит</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141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486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Транспортные расходы</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46</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Неустойки (штрафы, пени)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9</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на услуги кредитных организаций и банков-нерезидентов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110</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43</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10</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Плата за право пользования объектами интеллектуальной собственности</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878</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789</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11</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Расходы по списанию стоимости запасов</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12</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Прочее</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w:t>
            </w:r>
          </w:p>
        </w:tc>
      </w:tr>
      <w:tr w:rsidR="00E14DE7" w:rsidTr="00E14DE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13</w:t>
            </w:r>
          </w:p>
        </w:tc>
        <w:tc>
          <w:tcPr>
            <w:tcW w:w="430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b/>
                <w:sz w:val="18"/>
                <w:szCs w:val="18"/>
              </w:rPr>
              <w:t>Итого</w:t>
            </w:r>
          </w:p>
        </w:tc>
        <w:tc>
          <w:tcPr>
            <w:tcW w:w="268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7 681</w:t>
            </w:r>
          </w:p>
        </w:tc>
        <w:tc>
          <w:tcPr>
            <w:tcW w:w="2700"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4 128</w:t>
            </w:r>
          </w:p>
        </w:tc>
      </w:tr>
    </w:tbl>
    <w:p w:rsidR="00E14DE7" w:rsidRDefault="00E14DE7" w:rsidP="00E14DE7">
      <w:pPr>
        <w:sectPr w:rsidR="00E14DE7">
          <w:pgSz w:w="11907" w:h="16839"/>
          <w:pgMar w:top="567" w:right="567" w:bottom="567" w:left="567" w:header="720" w:footer="720" w:gutter="0"/>
          <w:cols w:space="720"/>
        </w:sectPr>
      </w:pPr>
    </w:p>
    <w:tbl>
      <w:tblPr>
        <w:tblStyle w:val="TableStyle76"/>
        <w:tblW w:w="15675" w:type="dxa"/>
        <w:tblInd w:w="57" w:type="dxa"/>
        <w:tblLayout w:type="fixed"/>
        <w:tblCellMar>
          <w:left w:w="57" w:type="dxa"/>
          <w:right w:w="57" w:type="dxa"/>
        </w:tblCellMar>
        <w:tblLook w:val="04A0" w:firstRow="1" w:lastRow="0" w:firstColumn="1" w:lastColumn="0" w:noHBand="0" w:noVBand="1"/>
      </w:tblPr>
      <w:tblGrid>
        <w:gridCol w:w="135"/>
        <w:gridCol w:w="15540"/>
      </w:tblGrid>
      <w:tr w:rsidR="00E14DE7" w:rsidTr="00E14DE7">
        <w:trPr>
          <w:cantSplit/>
        </w:trPr>
        <w:tc>
          <w:tcPr>
            <w:tcW w:w="135" w:type="dxa"/>
            <w:shd w:val="clear" w:color="auto" w:fill="auto"/>
            <w:vAlign w:val="center"/>
          </w:tcPr>
          <w:p w:rsidR="00E14DE7" w:rsidRDefault="00E14DE7" w:rsidP="00E14DE7"/>
        </w:tc>
        <w:tc>
          <w:tcPr>
            <w:tcW w:w="15540" w:type="dxa"/>
            <w:shd w:val="clear" w:color="auto" w:fill="auto"/>
            <w:vAlign w:val="center"/>
          </w:tcPr>
          <w:p w:rsidR="00E14DE7" w:rsidRDefault="00E14DE7" w:rsidP="00E14DE7">
            <w:pPr>
              <w:ind w:left="105"/>
            </w:pPr>
            <w:r>
              <w:rPr>
                <w:b/>
                <w:sz w:val="24"/>
                <w:szCs w:val="24"/>
              </w:rPr>
              <w:t>Примечание 19. Дивиденды</w:t>
            </w:r>
          </w:p>
        </w:tc>
      </w:tr>
    </w:tbl>
    <w:tbl>
      <w:tblPr>
        <w:tblStyle w:val="TableStyle77"/>
        <w:tblW w:w="15675" w:type="dxa"/>
        <w:tblInd w:w="57" w:type="dxa"/>
        <w:tblLayout w:type="fixed"/>
        <w:tblCellMar>
          <w:left w:w="57" w:type="dxa"/>
          <w:right w:w="57" w:type="dxa"/>
        </w:tblCellMar>
        <w:tblLook w:val="04A0" w:firstRow="1" w:lastRow="0" w:firstColumn="1" w:lastColumn="0" w:noHBand="0" w:noVBand="1"/>
      </w:tblPr>
      <w:tblGrid>
        <w:gridCol w:w="135"/>
        <w:gridCol w:w="735"/>
        <w:gridCol w:w="1785"/>
        <w:gridCol w:w="2685"/>
        <w:gridCol w:w="10335"/>
      </w:tblGrid>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center"/>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1033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540" w:type="dxa"/>
            <w:gridSpan w:val="4"/>
            <w:shd w:val="clear" w:color="auto" w:fill="auto"/>
            <w:vAlign w:val="center"/>
          </w:tcPr>
          <w:p w:rsidR="00E14DE7" w:rsidRDefault="00A11D07" w:rsidP="00A11D07">
            <w:r>
              <w:rPr>
                <w:b/>
                <w:sz w:val="22"/>
              </w:rPr>
              <w:t xml:space="preserve">                                                                    </w:t>
            </w:r>
            <w:r w:rsidR="00E14DE7">
              <w:rPr>
                <w:b/>
                <w:sz w:val="22"/>
              </w:rPr>
              <w:t>Дивиденды</w:t>
            </w:r>
          </w:p>
        </w:tc>
      </w:tr>
      <w:tr w:rsidR="00E14DE7" w:rsidTr="00E14DE7">
        <w:trPr>
          <w:cantSplit/>
        </w:trPr>
        <w:tc>
          <w:tcPr>
            <w:tcW w:w="135" w:type="dxa"/>
            <w:shd w:val="clear" w:color="auto" w:fill="auto"/>
            <w:vAlign w:val="center"/>
          </w:tcPr>
          <w:p w:rsidR="00E14DE7" w:rsidRDefault="00E14DE7" w:rsidP="00E14DE7"/>
        </w:tc>
        <w:tc>
          <w:tcPr>
            <w:tcW w:w="735" w:type="dxa"/>
            <w:shd w:val="clear" w:color="auto" w:fill="auto"/>
            <w:vAlign w:val="center"/>
          </w:tcPr>
          <w:p w:rsidR="00E14DE7" w:rsidRDefault="00E14DE7" w:rsidP="00E14DE7">
            <w:pPr>
              <w:jc w:val="right"/>
            </w:pPr>
          </w:p>
        </w:tc>
        <w:tc>
          <w:tcPr>
            <w:tcW w:w="1785" w:type="dxa"/>
            <w:shd w:val="clear" w:color="auto" w:fill="auto"/>
            <w:vAlign w:val="center"/>
          </w:tcPr>
          <w:p w:rsidR="00E14DE7" w:rsidRDefault="00E14DE7" w:rsidP="00E14DE7"/>
        </w:tc>
        <w:tc>
          <w:tcPr>
            <w:tcW w:w="2685" w:type="dxa"/>
            <w:shd w:val="clear" w:color="auto" w:fill="auto"/>
            <w:vAlign w:val="center"/>
          </w:tcPr>
          <w:p w:rsidR="00E14DE7" w:rsidRDefault="00E14DE7" w:rsidP="00E14DE7"/>
        </w:tc>
        <w:tc>
          <w:tcPr>
            <w:tcW w:w="10335" w:type="dxa"/>
            <w:shd w:val="clear" w:color="auto" w:fill="auto"/>
            <w:vAlign w:val="center"/>
          </w:tcPr>
          <w:p w:rsidR="00E14DE7" w:rsidRDefault="00E14DE7" w:rsidP="00E14DE7"/>
        </w:tc>
      </w:tr>
      <w:tr w:rsidR="00E14DE7" w:rsidTr="00E14DE7">
        <w:trPr>
          <w:cantSplit/>
        </w:trPr>
        <w:tc>
          <w:tcPr>
            <w:tcW w:w="135" w:type="dxa"/>
            <w:shd w:val="clear" w:color="auto" w:fill="auto"/>
            <w:vAlign w:val="center"/>
          </w:tcPr>
          <w:p w:rsidR="00E14DE7" w:rsidRDefault="00E14DE7" w:rsidP="00E14DE7"/>
        </w:tc>
        <w:tc>
          <w:tcPr>
            <w:tcW w:w="15540" w:type="dxa"/>
            <w:gridSpan w:val="4"/>
            <w:shd w:val="clear" w:color="auto" w:fill="auto"/>
            <w:vAlign w:val="center"/>
          </w:tcPr>
          <w:p w:rsidR="00E14DE7" w:rsidRDefault="00A11D07" w:rsidP="00A11D07">
            <w:pPr>
              <w:jc w:val="center"/>
            </w:pPr>
            <w:r>
              <w:rPr>
                <w:b/>
                <w:sz w:val="20"/>
                <w:szCs w:val="20"/>
              </w:rPr>
              <w:t xml:space="preserve">                                                                            </w:t>
            </w:r>
            <w:r w:rsidR="00E14DE7">
              <w:rPr>
                <w:b/>
                <w:sz w:val="20"/>
                <w:szCs w:val="20"/>
              </w:rPr>
              <w:t>Таблица 19.1</w:t>
            </w:r>
          </w:p>
        </w:tc>
      </w:tr>
      <w:tr w:rsidR="00E14DE7" w:rsidTr="00E14DE7">
        <w:trPr>
          <w:cantSplit/>
        </w:trPr>
        <w:tc>
          <w:tcPr>
            <w:tcW w:w="135" w:type="dxa"/>
            <w:shd w:val="clear" w:color="auto" w:fill="auto"/>
            <w:vAlign w:val="center"/>
          </w:tcPr>
          <w:p w:rsidR="00E14DE7" w:rsidRDefault="00E14DE7" w:rsidP="00E14DE7"/>
        </w:tc>
        <w:tc>
          <w:tcPr>
            <w:tcW w:w="15540" w:type="dxa"/>
            <w:gridSpan w:val="4"/>
            <w:shd w:val="clear" w:color="auto" w:fill="auto"/>
            <w:vAlign w:val="center"/>
          </w:tcPr>
          <w:p w:rsidR="00E14DE7" w:rsidRDefault="00E14DE7" w:rsidP="00E14DE7">
            <w:pPr>
              <w:jc w:val="right"/>
            </w:pPr>
            <w:r>
              <w:rPr>
                <w:sz w:val="18"/>
                <w:szCs w:val="18"/>
              </w:rPr>
              <w:t>тыс. руб.</w:t>
            </w:r>
          </w:p>
        </w:tc>
      </w:tr>
    </w:tbl>
    <w:tbl>
      <w:tblPr>
        <w:tblStyle w:val="TableStyle78"/>
        <w:tblW w:w="10915" w:type="dxa"/>
        <w:tblInd w:w="57" w:type="dxa"/>
        <w:tblLayout w:type="fixed"/>
        <w:tblCellMar>
          <w:left w:w="57" w:type="dxa"/>
          <w:right w:w="57" w:type="dxa"/>
        </w:tblCellMar>
        <w:tblLook w:val="04A0" w:firstRow="1" w:lastRow="0" w:firstColumn="1" w:lastColumn="0" w:noHBand="0" w:noVBand="1"/>
      </w:tblPr>
      <w:tblGrid>
        <w:gridCol w:w="135"/>
        <w:gridCol w:w="735"/>
        <w:gridCol w:w="6076"/>
        <w:gridCol w:w="3969"/>
      </w:tblGrid>
      <w:tr w:rsidR="00E14DE7" w:rsidTr="00A11D07">
        <w:trPr>
          <w:cantSplit/>
        </w:trPr>
        <w:tc>
          <w:tcPr>
            <w:tcW w:w="135" w:type="dxa"/>
            <w:shd w:val="clear" w:color="auto" w:fill="auto"/>
            <w:vAlign w:val="center"/>
          </w:tcPr>
          <w:p w:rsidR="00E14DE7" w:rsidRDefault="00E14DE7" w:rsidP="00E14DE7"/>
        </w:tc>
        <w:tc>
          <w:tcPr>
            <w:tcW w:w="73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Номер показателя</w:t>
            </w:r>
          </w:p>
        </w:tc>
        <w:tc>
          <w:tcPr>
            <w:tcW w:w="607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Наименование показателя</w:t>
            </w:r>
          </w:p>
        </w:tc>
        <w:tc>
          <w:tcPr>
            <w:tcW w:w="3969"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 полугодие 2026 г.</w:t>
            </w:r>
          </w:p>
        </w:tc>
      </w:tr>
      <w:tr w:rsidR="00E14DE7" w:rsidTr="00A11D07">
        <w:trPr>
          <w:cantSplit/>
        </w:trPr>
        <w:tc>
          <w:tcPr>
            <w:tcW w:w="135" w:type="dxa"/>
            <w:shd w:val="clear" w:color="auto" w:fill="auto"/>
            <w:vAlign w:val="center"/>
          </w:tcPr>
          <w:p w:rsidR="00E14DE7" w:rsidRDefault="00E14DE7" w:rsidP="00E14DE7"/>
        </w:tc>
        <w:tc>
          <w:tcPr>
            <w:tcW w:w="735"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6076" w:type="dxa"/>
            <w:vMerge/>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tc>
        <w:tc>
          <w:tcPr>
            <w:tcW w:w="3969"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По обыкновенным акциям</w:t>
            </w:r>
          </w:p>
        </w:tc>
      </w:tr>
      <w:tr w:rsidR="00E14DE7" w:rsidTr="00A11D0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1</w:t>
            </w:r>
          </w:p>
        </w:tc>
        <w:tc>
          <w:tcPr>
            <w:tcW w:w="6076"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2</w:t>
            </w:r>
          </w:p>
        </w:tc>
        <w:tc>
          <w:tcPr>
            <w:tcW w:w="3969"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b/>
                <w:sz w:val="18"/>
                <w:szCs w:val="18"/>
              </w:rPr>
              <w:t>3</w:t>
            </w:r>
          </w:p>
        </w:tc>
      </w:tr>
      <w:tr w:rsidR="00E14DE7" w:rsidTr="00A11D0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1</w:t>
            </w:r>
          </w:p>
        </w:tc>
        <w:tc>
          <w:tcPr>
            <w:tcW w:w="6076"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Дивиденды, объявленные в течение отчетного периода</w:t>
            </w:r>
          </w:p>
        </w:tc>
        <w:tc>
          <w:tcPr>
            <w:tcW w:w="3969"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28 281</w:t>
            </w:r>
          </w:p>
        </w:tc>
      </w:tr>
      <w:tr w:rsidR="00E14DE7" w:rsidTr="00A11D07">
        <w:trPr>
          <w:cantSplit/>
        </w:trPr>
        <w:tc>
          <w:tcPr>
            <w:tcW w:w="135" w:type="dxa"/>
            <w:shd w:val="clear" w:color="auto" w:fill="auto"/>
            <w:vAlign w:val="center"/>
          </w:tcPr>
          <w:p w:rsidR="00E14DE7" w:rsidRDefault="00E14DE7" w:rsidP="00E14DE7"/>
        </w:tc>
        <w:tc>
          <w:tcPr>
            <w:tcW w:w="735"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w:t>
            </w:r>
          </w:p>
        </w:tc>
        <w:tc>
          <w:tcPr>
            <w:tcW w:w="6076"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ind w:left="105"/>
            </w:pPr>
            <w:r>
              <w:rPr>
                <w:sz w:val="18"/>
                <w:szCs w:val="18"/>
              </w:rPr>
              <w:t>Дивиденды, выплаченные в течение отчетного периода</w:t>
            </w:r>
          </w:p>
        </w:tc>
        <w:tc>
          <w:tcPr>
            <w:tcW w:w="3969" w:type="dxa"/>
            <w:tcBorders>
              <w:top w:val="single" w:sz="5" w:space="0" w:color="auto"/>
              <w:left w:val="single" w:sz="5" w:space="0" w:color="auto"/>
              <w:bottom w:val="single" w:sz="5" w:space="0" w:color="auto"/>
              <w:right w:val="single" w:sz="5" w:space="0" w:color="auto"/>
            </w:tcBorders>
            <w:shd w:val="clear" w:color="auto" w:fill="auto"/>
            <w:vAlign w:val="center"/>
          </w:tcPr>
          <w:p w:rsidR="00E14DE7" w:rsidRDefault="00E14DE7" w:rsidP="00E14DE7">
            <w:pPr>
              <w:jc w:val="center"/>
            </w:pPr>
            <w:r>
              <w:rPr>
                <w:sz w:val="18"/>
                <w:szCs w:val="18"/>
              </w:rPr>
              <w:t>(28 281)</w:t>
            </w:r>
          </w:p>
        </w:tc>
      </w:tr>
    </w:tbl>
    <w:p w:rsidR="00E14DE7" w:rsidRPr="005009DF" w:rsidRDefault="00E14DE7" w:rsidP="00A11D07"/>
    <w:sectPr w:rsidR="00E14DE7" w:rsidRPr="005009DF">
      <w:pgSz w:w="11907" w:h="16839"/>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9DF" w:rsidRDefault="005009DF" w:rsidP="005009DF">
      <w:pPr>
        <w:spacing w:after="0" w:line="240" w:lineRule="auto"/>
      </w:pPr>
      <w:r>
        <w:separator/>
      </w:r>
    </w:p>
  </w:endnote>
  <w:endnote w:type="continuationSeparator" w:id="0">
    <w:p w:rsidR="005009DF" w:rsidRDefault="005009DF" w:rsidP="0050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9DF" w:rsidRDefault="005009DF" w:rsidP="005009DF">
      <w:pPr>
        <w:spacing w:after="0" w:line="240" w:lineRule="auto"/>
      </w:pPr>
      <w:r>
        <w:separator/>
      </w:r>
    </w:p>
  </w:footnote>
  <w:footnote w:type="continuationSeparator" w:id="0">
    <w:p w:rsidR="005009DF" w:rsidRDefault="005009DF" w:rsidP="00500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5A81"/>
    <w:rsid w:val="005009DF"/>
    <w:rsid w:val="005E2A99"/>
    <w:rsid w:val="00697F8F"/>
    <w:rsid w:val="006D4AC0"/>
    <w:rsid w:val="00781270"/>
    <w:rsid w:val="00915A81"/>
    <w:rsid w:val="00972634"/>
    <w:rsid w:val="00A11D07"/>
    <w:rsid w:val="00B662DC"/>
    <w:rsid w:val="00E14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table" w:customStyle="1" w:styleId="TableStyle1">
    <w:name w:val="TableStyle1"/>
    <w:pPr>
      <w:spacing w:after="0" w:line="240" w:lineRule="auto"/>
    </w:pPr>
    <w:rPr>
      <w:rFonts w:ascii="Arial" w:hAnsi="Arial"/>
      <w:sz w:val="16"/>
    </w:rPr>
    <w:tblPr>
      <w:tblCellMar>
        <w:top w:w="0" w:type="dxa"/>
        <w:left w:w="0" w:type="dxa"/>
        <w:bottom w:w="0" w:type="dxa"/>
        <w:right w:w="0" w:type="dxa"/>
      </w:tblCellMar>
    </w:tblPr>
  </w:style>
  <w:style w:type="table" w:customStyle="1" w:styleId="TableStyle2">
    <w:name w:val="TableStyle2"/>
    <w:pPr>
      <w:spacing w:after="0" w:line="240" w:lineRule="auto"/>
    </w:pPr>
    <w:rPr>
      <w:rFonts w:ascii="Arial" w:hAnsi="Arial"/>
      <w:sz w:val="16"/>
    </w:rPr>
    <w:tblPr>
      <w:tblCellMar>
        <w:top w:w="0" w:type="dxa"/>
        <w:left w:w="0" w:type="dxa"/>
        <w:bottom w:w="0" w:type="dxa"/>
        <w:right w:w="0" w:type="dxa"/>
      </w:tblCellMar>
    </w:tblPr>
  </w:style>
  <w:style w:type="table" w:customStyle="1" w:styleId="TableStyle3">
    <w:name w:val="TableStyle3"/>
    <w:pPr>
      <w:spacing w:after="0" w:line="240" w:lineRule="auto"/>
    </w:pPr>
    <w:rPr>
      <w:rFonts w:ascii="Arial" w:hAnsi="Arial"/>
      <w:sz w:val="16"/>
    </w:rPr>
    <w:tblPr>
      <w:tblCellMar>
        <w:top w:w="0" w:type="dxa"/>
        <w:left w:w="0" w:type="dxa"/>
        <w:bottom w:w="0" w:type="dxa"/>
        <w:right w:w="0" w:type="dxa"/>
      </w:tblCellMar>
    </w:tblPr>
  </w:style>
  <w:style w:type="table" w:customStyle="1" w:styleId="TableStyle4">
    <w:name w:val="TableStyle4"/>
    <w:pPr>
      <w:spacing w:after="0" w:line="240" w:lineRule="auto"/>
    </w:pPr>
    <w:rPr>
      <w:rFonts w:ascii="Arial" w:hAnsi="Arial"/>
      <w:sz w:val="16"/>
    </w:rPr>
    <w:tblPr>
      <w:tblCellMar>
        <w:top w:w="0" w:type="dxa"/>
        <w:left w:w="0" w:type="dxa"/>
        <w:bottom w:w="0" w:type="dxa"/>
        <w:right w:w="0" w:type="dxa"/>
      </w:tblCellMar>
    </w:tblPr>
  </w:style>
  <w:style w:type="table" w:customStyle="1" w:styleId="TableStyle5">
    <w:name w:val="TableStyle5"/>
    <w:pPr>
      <w:spacing w:after="0" w:line="240" w:lineRule="auto"/>
    </w:pPr>
    <w:rPr>
      <w:rFonts w:ascii="Arial" w:hAnsi="Arial"/>
      <w:sz w:val="16"/>
    </w:rPr>
    <w:tblPr>
      <w:tblCellMar>
        <w:top w:w="0" w:type="dxa"/>
        <w:left w:w="0" w:type="dxa"/>
        <w:bottom w:w="0" w:type="dxa"/>
        <w:right w:w="0" w:type="dxa"/>
      </w:tblCellMar>
    </w:tblPr>
  </w:style>
  <w:style w:type="table" w:customStyle="1" w:styleId="TableStyle6">
    <w:name w:val="TableStyle6"/>
    <w:pPr>
      <w:spacing w:after="0" w:line="240" w:lineRule="auto"/>
    </w:pPr>
    <w:rPr>
      <w:rFonts w:ascii="Arial" w:hAnsi="Arial"/>
      <w:sz w:val="16"/>
    </w:rPr>
    <w:tblPr>
      <w:tblCellMar>
        <w:top w:w="0" w:type="dxa"/>
        <w:left w:w="0" w:type="dxa"/>
        <w:bottom w:w="0" w:type="dxa"/>
        <w:right w:w="0" w:type="dxa"/>
      </w:tblCellMar>
    </w:tblPr>
  </w:style>
  <w:style w:type="table" w:customStyle="1" w:styleId="TableStyle7">
    <w:name w:val="TableStyle7"/>
    <w:pPr>
      <w:spacing w:after="0" w:line="240" w:lineRule="auto"/>
    </w:pPr>
    <w:rPr>
      <w:rFonts w:ascii="Arial" w:hAnsi="Arial"/>
      <w:sz w:val="16"/>
    </w:rPr>
    <w:tblPr>
      <w:tblCellMar>
        <w:top w:w="0" w:type="dxa"/>
        <w:left w:w="0" w:type="dxa"/>
        <w:bottom w:w="0" w:type="dxa"/>
        <w:right w:w="0" w:type="dxa"/>
      </w:tblCellMar>
    </w:tblPr>
  </w:style>
  <w:style w:type="table" w:customStyle="1" w:styleId="TableStyle8">
    <w:name w:val="TableStyle8"/>
    <w:pPr>
      <w:spacing w:after="0" w:line="240" w:lineRule="auto"/>
    </w:pPr>
    <w:rPr>
      <w:rFonts w:ascii="Arial" w:hAnsi="Arial"/>
      <w:sz w:val="16"/>
    </w:rPr>
    <w:tblPr>
      <w:tblCellMar>
        <w:top w:w="0" w:type="dxa"/>
        <w:left w:w="0" w:type="dxa"/>
        <w:bottom w:w="0" w:type="dxa"/>
        <w:right w:w="0" w:type="dxa"/>
      </w:tblCellMar>
    </w:tblPr>
  </w:style>
  <w:style w:type="table" w:customStyle="1" w:styleId="TableStyle9">
    <w:name w:val="TableStyle9"/>
    <w:pPr>
      <w:spacing w:after="0" w:line="240" w:lineRule="auto"/>
    </w:pPr>
    <w:rPr>
      <w:rFonts w:ascii="Arial" w:hAnsi="Arial"/>
      <w:sz w:val="16"/>
    </w:rPr>
    <w:tblPr>
      <w:tblCellMar>
        <w:top w:w="0" w:type="dxa"/>
        <w:left w:w="0" w:type="dxa"/>
        <w:bottom w:w="0" w:type="dxa"/>
        <w:right w:w="0" w:type="dxa"/>
      </w:tblCellMar>
    </w:tblPr>
  </w:style>
  <w:style w:type="table" w:customStyle="1" w:styleId="TableStyle10">
    <w:name w:val="TableStyle10"/>
    <w:pPr>
      <w:spacing w:after="0" w:line="240" w:lineRule="auto"/>
    </w:pPr>
    <w:rPr>
      <w:rFonts w:ascii="Arial" w:hAnsi="Arial"/>
      <w:sz w:val="16"/>
    </w:rPr>
    <w:tblPr>
      <w:tblCellMar>
        <w:top w:w="0" w:type="dxa"/>
        <w:left w:w="0" w:type="dxa"/>
        <w:bottom w:w="0" w:type="dxa"/>
        <w:right w:w="0" w:type="dxa"/>
      </w:tblCellMar>
    </w:tblPr>
  </w:style>
  <w:style w:type="table" w:customStyle="1" w:styleId="TableStyle11">
    <w:name w:val="TableStyle11"/>
    <w:pPr>
      <w:spacing w:after="0" w:line="240" w:lineRule="auto"/>
    </w:pPr>
    <w:rPr>
      <w:rFonts w:ascii="Arial" w:hAnsi="Arial"/>
      <w:sz w:val="16"/>
    </w:rPr>
    <w:tblPr>
      <w:tblCellMar>
        <w:top w:w="0" w:type="dxa"/>
        <w:left w:w="0" w:type="dxa"/>
        <w:bottom w:w="0" w:type="dxa"/>
        <w:right w:w="0" w:type="dxa"/>
      </w:tblCellMar>
    </w:tblPr>
  </w:style>
  <w:style w:type="table" w:customStyle="1" w:styleId="TableStyle12">
    <w:name w:val="TableStyle12"/>
    <w:pPr>
      <w:spacing w:after="0" w:line="240" w:lineRule="auto"/>
    </w:pPr>
    <w:rPr>
      <w:rFonts w:ascii="Arial" w:hAnsi="Arial"/>
      <w:sz w:val="16"/>
    </w:rPr>
    <w:tblPr>
      <w:tblCellMar>
        <w:top w:w="0" w:type="dxa"/>
        <w:left w:w="0" w:type="dxa"/>
        <w:bottom w:w="0" w:type="dxa"/>
        <w:right w:w="0" w:type="dxa"/>
      </w:tblCellMar>
    </w:tblPr>
  </w:style>
  <w:style w:type="table" w:customStyle="1" w:styleId="TableStyle13">
    <w:name w:val="TableStyle13"/>
    <w:pPr>
      <w:spacing w:after="0" w:line="240" w:lineRule="auto"/>
    </w:pPr>
    <w:rPr>
      <w:rFonts w:ascii="Arial" w:hAnsi="Arial"/>
      <w:sz w:val="16"/>
    </w:rPr>
    <w:tblPr>
      <w:tblCellMar>
        <w:top w:w="0" w:type="dxa"/>
        <w:left w:w="0" w:type="dxa"/>
        <w:bottom w:w="0" w:type="dxa"/>
        <w:right w:w="0" w:type="dxa"/>
      </w:tblCellMar>
    </w:tblPr>
  </w:style>
  <w:style w:type="table" w:customStyle="1" w:styleId="TableStyle14">
    <w:name w:val="TableStyle14"/>
    <w:pPr>
      <w:spacing w:after="0" w:line="240" w:lineRule="auto"/>
    </w:pPr>
    <w:rPr>
      <w:rFonts w:ascii="Arial" w:hAnsi="Arial"/>
      <w:sz w:val="16"/>
    </w:rPr>
    <w:tblPr>
      <w:tblCellMar>
        <w:top w:w="0" w:type="dxa"/>
        <w:left w:w="0" w:type="dxa"/>
        <w:bottom w:w="0" w:type="dxa"/>
        <w:right w:w="0" w:type="dxa"/>
      </w:tblCellMar>
    </w:tblPr>
  </w:style>
  <w:style w:type="table" w:customStyle="1" w:styleId="TableStyle15">
    <w:name w:val="TableStyle15"/>
    <w:pPr>
      <w:spacing w:after="0" w:line="240" w:lineRule="auto"/>
    </w:pPr>
    <w:rPr>
      <w:rFonts w:ascii="Arial" w:hAnsi="Arial"/>
      <w:sz w:val="16"/>
    </w:rPr>
    <w:tblPr>
      <w:tblCellMar>
        <w:top w:w="0" w:type="dxa"/>
        <w:left w:w="0" w:type="dxa"/>
        <w:bottom w:w="0" w:type="dxa"/>
        <w:right w:w="0" w:type="dxa"/>
      </w:tblCellMar>
    </w:tblPr>
  </w:style>
  <w:style w:type="table" w:customStyle="1" w:styleId="TableStyle16">
    <w:name w:val="TableStyle16"/>
    <w:pPr>
      <w:spacing w:after="0" w:line="240" w:lineRule="auto"/>
    </w:pPr>
    <w:rPr>
      <w:rFonts w:ascii="Arial" w:hAnsi="Arial"/>
      <w:sz w:val="16"/>
    </w:rPr>
    <w:tblPr>
      <w:tblCellMar>
        <w:top w:w="0" w:type="dxa"/>
        <w:left w:w="0" w:type="dxa"/>
        <w:bottom w:w="0" w:type="dxa"/>
        <w:right w:w="0" w:type="dxa"/>
      </w:tblCellMar>
    </w:tblPr>
  </w:style>
  <w:style w:type="table" w:customStyle="1" w:styleId="TableStyle17">
    <w:name w:val="TableStyle17"/>
    <w:pPr>
      <w:spacing w:after="0" w:line="240" w:lineRule="auto"/>
    </w:pPr>
    <w:rPr>
      <w:rFonts w:ascii="Arial" w:hAnsi="Arial"/>
      <w:sz w:val="16"/>
    </w:rPr>
    <w:tblPr>
      <w:tblCellMar>
        <w:top w:w="0" w:type="dxa"/>
        <w:left w:w="0" w:type="dxa"/>
        <w:bottom w:w="0" w:type="dxa"/>
        <w:right w:w="0" w:type="dxa"/>
      </w:tblCellMar>
    </w:tblPr>
  </w:style>
  <w:style w:type="table" w:customStyle="1" w:styleId="TableStyle18">
    <w:name w:val="TableStyle18"/>
    <w:pPr>
      <w:spacing w:after="0" w:line="240" w:lineRule="auto"/>
    </w:pPr>
    <w:rPr>
      <w:rFonts w:ascii="Arial" w:hAnsi="Arial"/>
      <w:sz w:val="16"/>
    </w:rPr>
    <w:tblPr>
      <w:tblCellMar>
        <w:top w:w="0" w:type="dxa"/>
        <w:left w:w="0" w:type="dxa"/>
        <w:bottom w:w="0" w:type="dxa"/>
        <w:right w:w="0" w:type="dxa"/>
      </w:tblCellMar>
    </w:tblPr>
  </w:style>
  <w:style w:type="table" w:customStyle="1" w:styleId="TableStyle19">
    <w:name w:val="TableStyle19"/>
    <w:pPr>
      <w:spacing w:after="0" w:line="240" w:lineRule="auto"/>
    </w:pPr>
    <w:rPr>
      <w:rFonts w:ascii="Arial" w:hAnsi="Arial"/>
      <w:sz w:val="16"/>
    </w:rPr>
    <w:tblPr>
      <w:tblCellMar>
        <w:top w:w="0" w:type="dxa"/>
        <w:left w:w="0" w:type="dxa"/>
        <w:bottom w:w="0" w:type="dxa"/>
        <w:right w:w="0" w:type="dxa"/>
      </w:tblCellMar>
    </w:tblPr>
  </w:style>
  <w:style w:type="table" w:customStyle="1" w:styleId="TableStyle20">
    <w:name w:val="TableStyle20"/>
    <w:pPr>
      <w:spacing w:after="0" w:line="240" w:lineRule="auto"/>
    </w:pPr>
    <w:rPr>
      <w:rFonts w:ascii="Arial" w:hAnsi="Arial"/>
      <w:sz w:val="16"/>
    </w:rPr>
    <w:tblPr>
      <w:tblCellMar>
        <w:top w:w="0" w:type="dxa"/>
        <w:left w:w="0" w:type="dxa"/>
        <w:bottom w:w="0" w:type="dxa"/>
        <w:right w:w="0" w:type="dxa"/>
      </w:tblCellMar>
    </w:tblPr>
  </w:style>
  <w:style w:type="table" w:customStyle="1" w:styleId="TableStyle21">
    <w:name w:val="TableStyle21"/>
    <w:pPr>
      <w:spacing w:after="0" w:line="240" w:lineRule="auto"/>
    </w:pPr>
    <w:rPr>
      <w:rFonts w:ascii="Arial" w:hAnsi="Arial"/>
      <w:sz w:val="16"/>
    </w:rPr>
    <w:tblPr>
      <w:tblCellMar>
        <w:top w:w="0" w:type="dxa"/>
        <w:left w:w="0" w:type="dxa"/>
        <w:bottom w:w="0" w:type="dxa"/>
        <w:right w:w="0" w:type="dxa"/>
      </w:tblCellMar>
    </w:tblPr>
  </w:style>
  <w:style w:type="table" w:customStyle="1" w:styleId="TableStyle22">
    <w:name w:val="TableStyle22"/>
    <w:pPr>
      <w:spacing w:after="0" w:line="240" w:lineRule="auto"/>
    </w:pPr>
    <w:rPr>
      <w:rFonts w:ascii="Arial" w:hAnsi="Arial"/>
      <w:sz w:val="16"/>
    </w:rPr>
    <w:tblPr>
      <w:tblCellMar>
        <w:top w:w="0" w:type="dxa"/>
        <w:left w:w="0" w:type="dxa"/>
        <w:bottom w:w="0" w:type="dxa"/>
        <w:right w:w="0" w:type="dxa"/>
      </w:tblCellMar>
    </w:tblPr>
  </w:style>
  <w:style w:type="table" w:customStyle="1" w:styleId="TableStyle23">
    <w:name w:val="TableStyle23"/>
    <w:pPr>
      <w:spacing w:after="0" w:line="240" w:lineRule="auto"/>
    </w:pPr>
    <w:rPr>
      <w:rFonts w:ascii="Arial" w:hAnsi="Arial"/>
      <w:sz w:val="16"/>
    </w:rPr>
    <w:tblPr>
      <w:tblCellMar>
        <w:top w:w="0" w:type="dxa"/>
        <w:left w:w="0" w:type="dxa"/>
        <w:bottom w:w="0" w:type="dxa"/>
        <w:right w:w="0" w:type="dxa"/>
      </w:tblCellMar>
    </w:tblPr>
  </w:style>
  <w:style w:type="table" w:customStyle="1" w:styleId="TableStyle24">
    <w:name w:val="TableStyle24"/>
    <w:pPr>
      <w:spacing w:after="0" w:line="240" w:lineRule="auto"/>
    </w:pPr>
    <w:rPr>
      <w:rFonts w:ascii="Arial" w:hAnsi="Arial"/>
      <w:sz w:val="16"/>
    </w:rPr>
    <w:tblPr>
      <w:tblCellMar>
        <w:top w:w="0" w:type="dxa"/>
        <w:left w:w="0" w:type="dxa"/>
        <w:bottom w:w="0" w:type="dxa"/>
        <w:right w:w="0" w:type="dxa"/>
      </w:tblCellMar>
    </w:tblPr>
  </w:style>
  <w:style w:type="table" w:customStyle="1" w:styleId="TableStyle25">
    <w:name w:val="TableStyle25"/>
    <w:pPr>
      <w:spacing w:after="0" w:line="240" w:lineRule="auto"/>
    </w:pPr>
    <w:rPr>
      <w:rFonts w:ascii="Arial" w:hAnsi="Arial"/>
      <w:sz w:val="16"/>
    </w:rPr>
    <w:tblPr>
      <w:tblCellMar>
        <w:top w:w="0" w:type="dxa"/>
        <w:left w:w="0" w:type="dxa"/>
        <w:bottom w:w="0" w:type="dxa"/>
        <w:right w:w="0" w:type="dxa"/>
      </w:tblCellMar>
    </w:tblPr>
  </w:style>
  <w:style w:type="table" w:customStyle="1" w:styleId="TableStyle26">
    <w:name w:val="TableStyle26"/>
    <w:pPr>
      <w:spacing w:after="0" w:line="240" w:lineRule="auto"/>
    </w:pPr>
    <w:rPr>
      <w:rFonts w:ascii="Arial" w:hAnsi="Arial"/>
      <w:sz w:val="16"/>
    </w:rPr>
    <w:tblPr>
      <w:tblCellMar>
        <w:top w:w="0" w:type="dxa"/>
        <w:left w:w="0" w:type="dxa"/>
        <w:bottom w:w="0" w:type="dxa"/>
        <w:right w:w="0" w:type="dxa"/>
      </w:tblCellMar>
    </w:tblPr>
  </w:style>
  <w:style w:type="table" w:customStyle="1" w:styleId="TableStyle27">
    <w:name w:val="TableStyle27"/>
    <w:pPr>
      <w:spacing w:after="0" w:line="240" w:lineRule="auto"/>
    </w:pPr>
    <w:rPr>
      <w:rFonts w:ascii="Arial" w:hAnsi="Arial"/>
      <w:sz w:val="16"/>
    </w:rPr>
    <w:tblPr>
      <w:tblCellMar>
        <w:top w:w="0" w:type="dxa"/>
        <w:left w:w="0" w:type="dxa"/>
        <w:bottom w:w="0" w:type="dxa"/>
        <w:right w:w="0" w:type="dxa"/>
      </w:tblCellMar>
    </w:tblPr>
  </w:style>
  <w:style w:type="table" w:customStyle="1" w:styleId="TableStyle28">
    <w:name w:val="TableStyle28"/>
    <w:pPr>
      <w:spacing w:after="0" w:line="240" w:lineRule="auto"/>
    </w:pPr>
    <w:rPr>
      <w:rFonts w:ascii="Arial" w:hAnsi="Arial"/>
      <w:sz w:val="16"/>
    </w:rPr>
    <w:tblPr>
      <w:tblCellMar>
        <w:top w:w="0" w:type="dxa"/>
        <w:left w:w="0" w:type="dxa"/>
        <w:bottom w:w="0" w:type="dxa"/>
        <w:right w:w="0" w:type="dxa"/>
      </w:tblCellMar>
    </w:tblPr>
  </w:style>
  <w:style w:type="table" w:customStyle="1" w:styleId="TableStyle29">
    <w:name w:val="TableStyle29"/>
    <w:pPr>
      <w:spacing w:after="0" w:line="240" w:lineRule="auto"/>
    </w:pPr>
    <w:rPr>
      <w:rFonts w:ascii="Arial" w:hAnsi="Arial"/>
      <w:sz w:val="16"/>
    </w:rPr>
    <w:tblPr>
      <w:tblCellMar>
        <w:top w:w="0" w:type="dxa"/>
        <w:left w:w="0" w:type="dxa"/>
        <w:bottom w:w="0" w:type="dxa"/>
        <w:right w:w="0" w:type="dxa"/>
      </w:tblCellMar>
    </w:tblPr>
  </w:style>
  <w:style w:type="table" w:customStyle="1" w:styleId="TableStyle30">
    <w:name w:val="TableStyle30"/>
    <w:pPr>
      <w:spacing w:after="0" w:line="240" w:lineRule="auto"/>
    </w:pPr>
    <w:rPr>
      <w:rFonts w:ascii="Arial" w:hAnsi="Arial"/>
      <w:sz w:val="16"/>
    </w:rPr>
    <w:tblPr>
      <w:tblCellMar>
        <w:top w:w="0" w:type="dxa"/>
        <w:left w:w="0" w:type="dxa"/>
        <w:bottom w:w="0" w:type="dxa"/>
        <w:right w:w="0" w:type="dxa"/>
      </w:tblCellMar>
    </w:tblPr>
  </w:style>
  <w:style w:type="table" w:customStyle="1" w:styleId="TableStyle31">
    <w:name w:val="TableStyle31"/>
    <w:pPr>
      <w:spacing w:after="0" w:line="240" w:lineRule="auto"/>
    </w:pPr>
    <w:rPr>
      <w:rFonts w:ascii="Arial" w:hAnsi="Arial"/>
      <w:sz w:val="16"/>
    </w:rPr>
    <w:tblPr>
      <w:tblCellMar>
        <w:top w:w="0" w:type="dxa"/>
        <w:left w:w="0" w:type="dxa"/>
        <w:bottom w:w="0" w:type="dxa"/>
        <w:right w:w="0" w:type="dxa"/>
      </w:tblCellMar>
    </w:tblPr>
  </w:style>
  <w:style w:type="table" w:customStyle="1" w:styleId="TableStyle32">
    <w:name w:val="TableStyle32"/>
    <w:pPr>
      <w:spacing w:after="0" w:line="240" w:lineRule="auto"/>
    </w:pPr>
    <w:rPr>
      <w:rFonts w:ascii="Arial" w:hAnsi="Arial"/>
      <w:sz w:val="16"/>
    </w:rPr>
    <w:tblPr>
      <w:tblCellMar>
        <w:top w:w="0" w:type="dxa"/>
        <w:left w:w="0" w:type="dxa"/>
        <w:bottom w:w="0" w:type="dxa"/>
        <w:right w:w="0" w:type="dxa"/>
      </w:tblCellMar>
    </w:tblPr>
  </w:style>
  <w:style w:type="table" w:customStyle="1" w:styleId="TableStyle33">
    <w:name w:val="TableStyle33"/>
    <w:pPr>
      <w:spacing w:after="0" w:line="240" w:lineRule="auto"/>
    </w:pPr>
    <w:rPr>
      <w:rFonts w:ascii="Arial" w:hAnsi="Arial"/>
      <w:sz w:val="16"/>
    </w:rPr>
    <w:tblPr>
      <w:tblCellMar>
        <w:top w:w="0" w:type="dxa"/>
        <w:left w:w="0" w:type="dxa"/>
        <w:bottom w:w="0" w:type="dxa"/>
        <w:right w:w="0" w:type="dxa"/>
      </w:tblCellMar>
    </w:tblPr>
  </w:style>
  <w:style w:type="table" w:customStyle="1" w:styleId="TableStyle34">
    <w:name w:val="TableStyle34"/>
    <w:pPr>
      <w:spacing w:after="0" w:line="240" w:lineRule="auto"/>
    </w:pPr>
    <w:rPr>
      <w:rFonts w:ascii="Arial" w:hAnsi="Arial"/>
      <w:sz w:val="16"/>
    </w:rPr>
    <w:tblPr>
      <w:tblCellMar>
        <w:top w:w="0" w:type="dxa"/>
        <w:left w:w="0" w:type="dxa"/>
        <w:bottom w:w="0" w:type="dxa"/>
        <w:right w:w="0" w:type="dxa"/>
      </w:tblCellMar>
    </w:tblPr>
  </w:style>
  <w:style w:type="table" w:customStyle="1" w:styleId="TableStyle35">
    <w:name w:val="TableStyle35"/>
    <w:pPr>
      <w:spacing w:after="0" w:line="240" w:lineRule="auto"/>
    </w:pPr>
    <w:rPr>
      <w:rFonts w:ascii="Arial" w:hAnsi="Arial"/>
      <w:sz w:val="16"/>
    </w:rPr>
    <w:tblPr>
      <w:tblCellMar>
        <w:top w:w="0" w:type="dxa"/>
        <w:left w:w="0" w:type="dxa"/>
        <w:bottom w:w="0" w:type="dxa"/>
        <w:right w:w="0" w:type="dxa"/>
      </w:tblCellMar>
    </w:tblPr>
  </w:style>
  <w:style w:type="table" w:customStyle="1" w:styleId="TableStyle36">
    <w:name w:val="TableStyle36"/>
    <w:pPr>
      <w:spacing w:after="0" w:line="240" w:lineRule="auto"/>
    </w:pPr>
    <w:rPr>
      <w:rFonts w:ascii="Arial" w:hAnsi="Arial"/>
      <w:sz w:val="16"/>
    </w:rPr>
    <w:tblPr>
      <w:tblCellMar>
        <w:top w:w="0" w:type="dxa"/>
        <w:left w:w="0" w:type="dxa"/>
        <w:bottom w:w="0" w:type="dxa"/>
        <w:right w:w="0" w:type="dxa"/>
      </w:tblCellMar>
    </w:tblPr>
  </w:style>
  <w:style w:type="table" w:customStyle="1" w:styleId="TableStyle37">
    <w:name w:val="TableStyle37"/>
    <w:pPr>
      <w:spacing w:after="0" w:line="240" w:lineRule="auto"/>
    </w:pPr>
    <w:rPr>
      <w:rFonts w:ascii="Arial" w:hAnsi="Arial"/>
      <w:sz w:val="16"/>
    </w:rPr>
    <w:tblPr>
      <w:tblCellMar>
        <w:top w:w="0" w:type="dxa"/>
        <w:left w:w="0" w:type="dxa"/>
        <w:bottom w:w="0" w:type="dxa"/>
        <w:right w:w="0" w:type="dxa"/>
      </w:tblCellMar>
    </w:tblPr>
  </w:style>
  <w:style w:type="table" w:customStyle="1" w:styleId="TableStyle38">
    <w:name w:val="TableStyle38"/>
    <w:pPr>
      <w:spacing w:after="0" w:line="240" w:lineRule="auto"/>
    </w:pPr>
    <w:rPr>
      <w:rFonts w:ascii="Arial" w:hAnsi="Arial"/>
      <w:sz w:val="16"/>
    </w:rPr>
    <w:tblPr>
      <w:tblCellMar>
        <w:top w:w="0" w:type="dxa"/>
        <w:left w:w="0" w:type="dxa"/>
        <w:bottom w:w="0" w:type="dxa"/>
        <w:right w:w="0" w:type="dxa"/>
      </w:tblCellMar>
    </w:tblPr>
  </w:style>
  <w:style w:type="table" w:customStyle="1" w:styleId="TableStyle39">
    <w:name w:val="TableStyle39"/>
    <w:pPr>
      <w:spacing w:after="0" w:line="240" w:lineRule="auto"/>
    </w:pPr>
    <w:rPr>
      <w:rFonts w:ascii="Arial" w:hAnsi="Arial"/>
      <w:sz w:val="16"/>
    </w:rPr>
    <w:tblPr>
      <w:tblCellMar>
        <w:top w:w="0" w:type="dxa"/>
        <w:left w:w="0" w:type="dxa"/>
        <w:bottom w:w="0" w:type="dxa"/>
        <w:right w:w="0" w:type="dxa"/>
      </w:tblCellMar>
    </w:tblPr>
  </w:style>
  <w:style w:type="table" w:customStyle="1" w:styleId="TableStyle40">
    <w:name w:val="TableStyle40"/>
    <w:pPr>
      <w:spacing w:after="0" w:line="240" w:lineRule="auto"/>
    </w:pPr>
    <w:rPr>
      <w:rFonts w:ascii="Arial" w:hAnsi="Arial"/>
      <w:sz w:val="16"/>
    </w:rPr>
    <w:tblPr>
      <w:tblCellMar>
        <w:top w:w="0" w:type="dxa"/>
        <w:left w:w="0" w:type="dxa"/>
        <w:bottom w:w="0" w:type="dxa"/>
        <w:right w:w="0" w:type="dxa"/>
      </w:tblCellMar>
    </w:tblPr>
  </w:style>
  <w:style w:type="table" w:customStyle="1" w:styleId="TableStyle41">
    <w:name w:val="TableStyle41"/>
    <w:pPr>
      <w:spacing w:after="0" w:line="240" w:lineRule="auto"/>
    </w:pPr>
    <w:rPr>
      <w:rFonts w:ascii="Arial" w:hAnsi="Arial"/>
      <w:sz w:val="16"/>
    </w:rPr>
    <w:tblPr>
      <w:tblCellMar>
        <w:top w:w="0" w:type="dxa"/>
        <w:left w:w="0" w:type="dxa"/>
        <w:bottom w:w="0" w:type="dxa"/>
        <w:right w:w="0" w:type="dxa"/>
      </w:tblCellMar>
    </w:tblPr>
  </w:style>
  <w:style w:type="table" w:customStyle="1" w:styleId="TableStyle42">
    <w:name w:val="TableStyle42"/>
    <w:pPr>
      <w:spacing w:after="0" w:line="240" w:lineRule="auto"/>
    </w:pPr>
    <w:rPr>
      <w:rFonts w:ascii="Arial" w:hAnsi="Arial"/>
      <w:sz w:val="16"/>
    </w:rPr>
    <w:tblPr>
      <w:tblCellMar>
        <w:top w:w="0" w:type="dxa"/>
        <w:left w:w="0" w:type="dxa"/>
        <w:bottom w:w="0" w:type="dxa"/>
        <w:right w:w="0" w:type="dxa"/>
      </w:tblCellMar>
    </w:tblPr>
  </w:style>
  <w:style w:type="table" w:customStyle="1" w:styleId="TableStyle43">
    <w:name w:val="TableStyle43"/>
    <w:pPr>
      <w:spacing w:after="0" w:line="240" w:lineRule="auto"/>
    </w:pPr>
    <w:rPr>
      <w:rFonts w:ascii="Arial" w:hAnsi="Arial"/>
      <w:sz w:val="16"/>
    </w:rPr>
    <w:tblPr>
      <w:tblCellMar>
        <w:top w:w="0" w:type="dxa"/>
        <w:left w:w="0" w:type="dxa"/>
        <w:bottom w:w="0" w:type="dxa"/>
        <w:right w:w="0" w:type="dxa"/>
      </w:tblCellMar>
    </w:tblPr>
  </w:style>
  <w:style w:type="table" w:customStyle="1" w:styleId="TableStyle44">
    <w:name w:val="TableStyle44"/>
    <w:pPr>
      <w:spacing w:after="0" w:line="240" w:lineRule="auto"/>
    </w:pPr>
    <w:rPr>
      <w:rFonts w:ascii="Arial" w:hAnsi="Arial"/>
      <w:sz w:val="16"/>
    </w:rPr>
    <w:tblPr>
      <w:tblCellMar>
        <w:top w:w="0" w:type="dxa"/>
        <w:left w:w="0" w:type="dxa"/>
        <w:bottom w:w="0" w:type="dxa"/>
        <w:right w:w="0" w:type="dxa"/>
      </w:tblCellMar>
    </w:tblPr>
  </w:style>
  <w:style w:type="table" w:customStyle="1" w:styleId="TableStyle45">
    <w:name w:val="TableStyle45"/>
    <w:pPr>
      <w:spacing w:after="0" w:line="240" w:lineRule="auto"/>
    </w:pPr>
    <w:rPr>
      <w:rFonts w:ascii="Arial" w:hAnsi="Arial"/>
      <w:sz w:val="16"/>
    </w:rPr>
    <w:tblPr>
      <w:tblCellMar>
        <w:top w:w="0" w:type="dxa"/>
        <w:left w:w="0" w:type="dxa"/>
        <w:bottom w:w="0" w:type="dxa"/>
        <w:right w:w="0" w:type="dxa"/>
      </w:tblCellMar>
    </w:tblPr>
  </w:style>
  <w:style w:type="table" w:customStyle="1" w:styleId="TableStyle46">
    <w:name w:val="TableStyle46"/>
    <w:pPr>
      <w:spacing w:after="0" w:line="240" w:lineRule="auto"/>
    </w:pPr>
    <w:rPr>
      <w:rFonts w:ascii="Arial" w:hAnsi="Arial"/>
      <w:sz w:val="16"/>
    </w:rPr>
    <w:tblPr>
      <w:tblCellMar>
        <w:top w:w="0" w:type="dxa"/>
        <w:left w:w="0" w:type="dxa"/>
        <w:bottom w:w="0" w:type="dxa"/>
        <w:right w:w="0" w:type="dxa"/>
      </w:tblCellMar>
    </w:tblPr>
  </w:style>
  <w:style w:type="table" w:customStyle="1" w:styleId="TableStyle47">
    <w:name w:val="TableStyle47"/>
    <w:pPr>
      <w:spacing w:after="0" w:line="240" w:lineRule="auto"/>
    </w:pPr>
    <w:rPr>
      <w:rFonts w:ascii="Arial" w:hAnsi="Arial"/>
      <w:sz w:val="16"/>
    </w:rPr>
    <w:tblPr>
      <w:tblCellMar>
        <w:top w:w="0" w:type="dxa"/>
        <w:left w:w="0" w:type="dxa"/>
        <w:bottom w:w="0" w:type="dxa"/>
        <w:right w:w="0" w:type="dxa"/>
      </w:tblCellMar>
    </w:tblPr>
  </w:style>
  <w:style w:type="table" w:customStyle="1" w:styleId="TableStyle48">
    <w:name w:val="TableStyle48"/>
    <w:pPr>
      <w:spacing w:after="0" w:line="240" w:lineRule="auto"/>
    </w:pPr>
    <w:rPr>
      <w:rFonts w:ascii="Arial" w:hAnsi="Arial"/>
      <w:sz w:val="16"/>
    </w:rPr>
    <w:tblPr>
      <w:tblCellMar>
        <w:top w:w="0" w:type="dxa"/>
        <w:left w:w="0" w:type="dxa"/>
        <w:bottom w:w="0" w:type="dxa"/>
        <w:right w:w="0" w:type="dxa"/>
      </w:tblCellMar>
    </w:tblPr>
  </w:style>
  <w:style w:type="table" w:customStyle="1" w:styleId="TableStyle49">
    <w:name w:val="TableStyle49"/>
    <w:pPr>
      <w:spacing w:after="0" w:line="240" w:lineRule="auto"/>
    </w:pPr>
    <w:rPr>
      <w:rFonts w:ascii="Arial" w:hAnsi="Arial"/>
      <w:sz w:val="16"/>
    </w:rPr>
    <w:tblPr>
      <w:tblCellMar>
        <w:top w:w="0" w:type="dxa"/>
        <w:left w:w="0" w:type="dxa"/>
        <w:bottom w:w="0" w:type="dxa"/>
        <w:right w:w="0" w:type="dxa"/>
      </w:tblCellMar>
    </w:tblPr>
  </w:style>
  <w:style w:type="table" w:customStyle="1" w:styleId="TableStyle50">
    <w:name w:val="TableStyle50"/>
    <w:pPr>
      <w:spacing w:after="0" w:line="240" w:lineRule="auto"/>
    </w:pPr>
    <w:rPr>
      <w:rFonts w:ascii="Arial" w:hAnsi="Arial"/>
      <w:sz w:val="16"/>
    </w:rPr>
    <w:tblPr>
      <w:tblCellMar>
        <w:top w:w="0" w:type="dxa"/>
        <w:left w:w="0" w:type="dxa"/>
        <w:bottom w:w="0" w:type="dxa"/>
        <w:right w:w="0" w:type="dxa"/>
      </w:tblCellMar>
    </w:tblPr>
  </w:style>
  <w:style w:type="table" w:customStyle="1" w:styleId="TableStyle51">
    <w:name w:val="TableStyle51"/>
    <w:pPr>
      <w:spacing w:after="0" w:line="240" w:lineRule="auto"/>
    </w:pPr>
    <w:rPr>
      <w:rFonts w:ascii="Arial" w:hAnsi="Arial"/>
      <w:sz w:val="16"/>
    </w:rPr>
    <w:tblPr>
      <w:tblCellMar>
        <w:top w:w="0" w:type="dxa"/>
        <w:left w:w="0" w:type="dxa"/>
        <w:bottom w:w="0" w:type="dxa"/>
        <w:right w:w="0" w:type="dxa"/>
      </w:tblCellMar>
    </w:tblPr>
  </w:style>
  <w:style w:type="table" w:customStyle="1" w:styleId="TableStyle52">
    <w:name w:val="TableStyle52"/>
    <w:pPr>
      <w:spacing w:after="0" w:line="240" w:lineRule="auto"/>
    </w:pPr>
    <w:rPr>
      <w:rFonts w:ascii="Arial" w:hAnsi="Arial"/>
      <w:sz w:val="16"/>
    </w:rPr>
    <w:tblPr>
      <w:tblCellMar>
        <w:top w:w="0" w:type="dxa"/>
        <w:left w:w="0" w:type="dxa"/>
        <w:bottom w:w="0" w:type="dxa"/>
        <w:right w:w="0" w:type="dxa"/>
      </w:tblCellMar>
    </w:tblPr>
  </w:style>
  <w:style w:type="table" w:customStyle="1" w:styleId="TableStyle53">
    <w:name w:val="TableStyle53"/>
    <w:pPr>
      <w:spacing w:after="0" w:line="240" w:lineRule="auto"/>
    </w:pPr>
    <w:rPr>
      <w:rFonts w:ascii="Arial" w:hAnsi="Arial"/>
      <w:sz w:val="16"/>
    </w:rPr>
    <w:tblPr>
      <w:tblCellMar>
        <w:top w:w="0" w:type="dxa"/>
        <w:left w:w="0" w:type="dxa"/>
        <w:bottom w:w="0" w:type="dxa"/>
        <w:right w:w="0" w:type="dxa"/>
      </w:tblCellMar>
    </w:tblPr>
  </w:style>
  <w:style w:type="table" w:customStyle="1" w:styleId="TableStyle54">
    <w:name w:val="TableStyle54"/>
    <w:pPr>
      <w:spacing w:after="0" w:line="240" w:lineRule="auto"/>
    </w:pPr>
    <w:rPr>
      <w:rFonts w:ascii="Arial" w:hAnsi="Arial"/>
      <w:sz w:val="16"/>
    </w:rPr>
    <w:tblPr>
      <w:tblCellMar>
        <w:top w:w="0" w:type="dxa"/>
        <w:left w:w="0" w:type="dxa"/>
        <w:bottom w:w="0" w:type="dxa"/>
        <w:right w:w="0" w:type="dxa"/>
      </w:tblCellMar>
    </w:tblPr>
  </w:style>
  <w:style w:type="table" w:customStyle="1" w:styleId="TableStyle55">
    <w:name w:val="TableStyle55"/>
    <w:pPr>
      <w:spacing w:after="0" w:line="240" w:lineRule="auto"/>
    </w:pPr>
    <w:rPr>
      <w:rFonts w:ascii="Arial" w:hAnsi="Arial"/>
      <w:sz w:val="16"/>
    </w:rPr>
    <w:tblPr>
      <w:tblCellMar>
        <w:top w:w="0" w:type="dxa"/>
        <w:left w:w="0" w:type="dxa"/>
        <w:bottom w:w="0" w:type="dxa"/>
        <w:right w:w="0" w:type="dxa"/>
      </w:tblCellMar>
    </w:tblPr>
  </w:style>
  <w:style w:type="table" w:customStyle="1" w:styleId="TableStyle56">
    <w:name w:val="TableStyle56"/>
    <w:pPr>
      <w:spacing w:after="0" w:line="240" w:lineRule="auto"/>
    </w:pPr>
    <w:rPr>
      <w:rFonts w:ascii="Arial" w:hAnsi="Arial"/>
      <w:sz w:val="16"/>
    </w:rPr>
    <w:tblPr>
      <w:tblCellMar>
        <w:top w:w="0" w:type="dxa"/>
        <w:left w:w="0" w:type="dxa"/>
        <w:bottom w:w="0" w:type="dxa"/>
        <w:right w:w="0" w:type="dxa"/>
      </w:tblCellMar>
    </w:tblPr>
  </w:style>
  <w:style w:type="table" w:customStyle="1" w:styleId="TableStyle57">
    <w:name w:val="TableStyle57"/>
    <w:pPr>
      <w:spacing w:after="0" w:line="240" w:lineRule="auto"/>
    </w:pPr>
    <w:rPr>
      <w:rFonts w:ascii="Arial" w:hAnsi="Arial"/>
      <w:sz w:val="16"/>
    </w:rPr>
    <w:tblPr>
      <w:tblCellMar>
        <w:top w:w="0" w:type="dxa"/>
        <w:left w:w="0" w:type="dxa"/>
        <w:bottom w:w="0" w:type="dxa"/>
        <w:right w:w="0" w:type="dxa"/>
      </w:tblCellMar>
    </w:tblPr>
  </w:style>
  <w:style w:type="table" w:customStyle="1" w:styleId="TableStyle58">
    <w:name w:val="TableStyle58"/>
    <w:pPr>
      <w:spacing w:after="0" w:line="240" w:lineRule="auto"/>
    </w:pPr>
    <w:rPr>
      <w:rFonts w:ascii="Arial" w:hAnsi="Arial"/>
      <w:sz w:val="16"/>
    </w:rPr>
    <w:tblPr>
      <w:tblCellMar>
        <w:top w:w="0" w:type="dxa"/>
        <w:left w:w="0" w:type="dxa"/>
        <w:bottom w:w="0" w:type="dxa"/>
        <w:right w:w="0" w:type="dxa"/>
      </w:tblCellMar>
    </w:tblPr>
  </w:style>
  <w:style w:type="table" w:customStyle="1" w:styleId="TableStyle59">
    <w:name w:val="TableStyle59"/>
    <w:pPr>
      <w:spacing w:after="0" w:line="240" w:lineRule="auto"/>
    </w:pPr>
    <w:rPr>
      <w:rFonts w:ascii="Arial" w:hAnsi="Arial"/>
      <w:sz w:val="16"/>
    </w:rPr>
    <w:tblPr>
      <w:tblCellMar>
        <w:top w:w="0" w:type="dxa"/>
        <w:left w:w="0" w:type="dxa"/>
        <w:bottom w:w="0" w:type="dxa"/>
        <w:right w:w="0" w:type="dxa"/>
      </w:tblCellMar>
    </w:tblPr>
  </w:style>
  <w:style w:type="table" w:customStyle="1" w:styleId="TableStyle60">
    <w:name w:val="TableStyle60"/>
    <w:pPr>
      <w:spacing w:after="0" w:line="240" w:lineRule="auto"/>
    </w:pPr>
    <w:rPr>
      <w:rFonts w:ascii="Arial" w:hAnsi="Arial"/>
      <w:sz w:val="16"/>
    </w:rPr>
    <w:tblPr>
      <w:tblCellMar>
        <w:top w:w="0" w:type="dxa"/>
        <w:left w:w="0" w:type="dxa"/>
        <w:bottom w:w="0" w:type="dxa"/>
        <w:right w:w="0" w:type="dxa"/>
      </w:tblCellMar>
    </w:tblPr>
  </w:style>
  <w:style w:type="table" w:customStyle="1" w:styleId="TableStyle61">
    <w:name w:val="TableStyle61"/>
    <w:pPr>
      <w:spacing w:after="0" w:line="240" w:lineRule="auto"/>
    </w:pPr>
    <w:rPr>
      <w:rFonts w:ascii="Arial" w:hAnsi="Arial"/>
      <w:sz w:val="16"/>
    </w:rPr>
    <w:tblPr>
      <w:tblCellMar>
        <w:top w:w="0" w:type="dxa"/>
        <w:left w:w="0" w:type="dxa"/>
        <w:bottom w:w="0" w:type="dxa"/>
        <w:right w:w="0" w:type="dxa"/>
      </w:tblCellMar>
    </w:tblPr>
  </w:style>
  <w:style w:type="table" w:customStyle="1" w:styleId="TableStyle62">
    <w:name w:val="TableStyle62"/>
    <w:pPr>
      <w:spacing w:after="0" w:line="240" w:lineRule="auto"/>
    </w:pPr>
    <w:rPr>
      <w:rFonts w:ascii="Arial" w:hAnsi="Arial"/>
      <w:sz w:val="16"/>
    </w:rPr>
    <w:tblPr>
      <w:tblCellMar>
        <w:top w:w="0" w:type="dxa"/>
        <w:left w:w="0" w:type="dxa"/>
        <w:bottom w:w="0" w:type="dxa"/>
        <w:right w:w="0" w:type="dxa"/>
      </w:tblCellMar>
    </w:tblPr>
  </w:style>
  <w:style w:type="table" w:customStyle="1" w:styleId="TableStyle63">
    <w:name w:val="TableStyle63"/>
    <w:pPr>
      <w:spacing w:after="0" w:line="240" w:lineRule="auto"/>
    </w:pPr>
    <w:rPr>
      <w:rFonts w:ascii="Arial" w:hAnsi="Arial"/>
      <w:sz w:val="16"/>
    </w:rPr>
    <w:tblPr>
      <w:tblCellMar>
        <w:top w:w="0" w:type="dxa"/>
        <w:left w:w="0" w:type="dxa"/>
        <w:bottom w:w="0" w:type="dxa"/>
        <w:right w:w="0" w:type="dxa"/>
      </w:tblCellMar>
    </w:tblPr>
  </w:style>
  <w:style w:type="table" w:customStyle="1" w:styleId="TableStyle64">
    <w:name w:val="TableStyle64"/>
    <w:pPr>
      <w:spacing w:after="0" w:line="240" w:lineRule="auto"/>
    </w:pPr>
    <w:rPr>
      <w:rFonts w:ascii="Arial" w:hAnsi="Arial"/>
      <w:sz w:val="16"/>
    </w:rPr>
    <w:tblPr>
      <w:tblCellMar>
        <w:top w:w="0" w:type="dxa"/>
        <w:left w:w="0" w:type="dxa"/>
        <w:bottom w:w="0" w:type="dxa"/>
        <w:right w:w="0" w:type="dxa"/>
      </w:tblCellMar>
    </w:tblPr>
  </w:style>
  <w:style w:type="table" w:customStyle="1" w:styleId="TableStyle65">
    <w:name w:val="TableStyle65"/>
    <w:pPr>
      <w:spacing w:after="0" w:line="240" w:lineRule="auto"/>
    </w:pPr>
    <w:rPr>
      <w:rFonts w:ascii="Arial" w:hAnsi="Arial"/>
      <w:sz w:val="16"/>
    </w:rPr>
    <w:tblPr>
      <w:tblCellMar>
        <w:top w:w="0" w:type="dxa"/>
        <w:left w:w="0" w:type="dxa"/>
        <w:bottom w:w="0" w:type="dxa"/>
        <w:right w:w="0" w:type="dxa"/>
      </w:tblCellMar>
    </w:tblPr>
  </w:style>
  <w:style w:type="table" w:customStyle="1" w:styleId="TableStyle66">
    <w:name w:val="TableStyle66"/>
    <w:pPr>
      <w:spacing w:after="0" w:line="240" w:lineRule="auto"/>
    </w:pPr>
    <w:rPr>
      <w:rFonts w:ascii="Arial" w:hAnsi="Arial"/>
      <w:sz w:val="16"/>
    </w:rPr>
    <w:tblPr>
      <w:tblCellMar>
        <w:top w:w="0" w:type="dxa"/>
        <w:left w:w="0" w:type="dxa"/>
        <w:bottom w:w="0" w:type="dxa"/>
        <w:right w:w="0" w:type="dxa"/>
      </w:tblCellMar>
    </w:tblPr>
  </w:style>
  <w:style w:type="table" w:customStyle="1" w:styleId="TableStyle67">
    <w:name w:val="TableStyle67"/>
    <w:pPr>
      <w:spacing w:after="0" w:line="240" w:lineRule="auto"/>
    </w:pPr>
    <w:rPr>
      <w:rFonts w:ascii="Arial" w:hAnsi="Arial"/>
      <w:sz w:val="16"/>
    </w:rPr>
    <w:tblPr>
      <w:tblCellMar>
        <w:top w:w="0" w:type="dxa"/>
        <w:left w:w="0" w:type="dxa"/>
        <w:bottom w:w="0" w:type="dxa"/>
        <w:right w:w="0" w:type="dxa"/>
      </w:tblCellMar>
    </w:tblPr>
  </w:style>
  <w:style w:type="table" w:customStyle="1" w:styleId="TableStyle68">
    <w:name w:val="TableStyle68"/>
    <w:pPr>
      <w:spacing w:after="0" w:line="240" w:lineRule="auto"/>
    </w:pPr>
    <w:rPr>
      <w:rFonts w:ascii="Arial" w:hAnsi="Arial"/>
      <w:sz w:val="16"/>
    </w:rPr>
    <w:tblPr>
      <w:tblCellMar>
        <w:top w:w="0" w:type="dxa"/>
        <w:left w:w="0" w:type="dxa"/>
        <w:bottom w:w="0" w:type="dxa"/>
        <w:right w:w="0" w:type="dxa"/>
      </w:tblCellMar>
    </w:tblPr>
  </w:style>
  <w:style w:type="table" w:customStyle="1" w:styleId="TableStyle69">
    <w:name w:val="TableStyle69"/>
    <w:pPr>
      <w:spacing w:after="0" w:line="240" w:lineRule="auto"/>
    </w:pPr>
    <w:rPr>
      <w:rFonts w:ascii="Arial" w:hAnsi="Arial"/>
      <w:sz w:val="16"/>
    </w:rPr>
    <w:tblPr>
      <w:tblCellMar>
        <w:top w:w="0" w:type="dxa"/>
        <w:left w:w="0" w:type="dxa"/>
        <w:bottom w:w="0" w:type="dxa"/>
        <w:right w:w="0" w:type="dxa"/>
      </w:tblCellMar>
    </w:tblPr>
  </w:style>
  <w:style w:type="table" w:customStyle="1" w:styleId="TableStyle70">
    <w:name w:val="TableStyle70"/>
    <w:pPr>
      <w:spacing w:after="0" w:line="240" w:lineRule="auto"/>
    </w:pPr>
    <w:rPr>
      <w:rFonts w:ascii="Arial" w:hAnsi="Arial"/>
      <w:sz w:val="16"/>
    </w:rPr>
    <w:tblPr>
      <w:tblCellMar>
        <w:top w:w="0" w:type="dxa"/>
        <w:left w:w="0" w:type="dxa"/>
        <w:bottom w:w="0" w:type="dxa"/>
        <w:right w:w="0" w:type="dxa"/>
      </w:tblCellMar>
    </w:tblPr>
  </w:style>
  <w:style w:type="table" w:customStyle="1" w:styleId="TableStyle71">
    <w:name w:val="TableStyle71"/>
    <w:pPr>
      <w:spacing w:after="0" w:line="240" w:lineRule="auto"/>
    </w:pPr>
    <w:rPr>
      <w:rFonts w:ascii="Arial" w:hAnsi="Arial"/>
      <w:sz w:val="16"/>
    </w:rPr>
    <w:tblPr>
      <w:tblCellMar>
        <w:top w:w="0" w:type="dxa"/>
        <w:left w:w="0" w:type="dxa"/>
        <w:bottom w:w="0" w:type="dxa"/>
        <w:right w:w="0" w:type="dxa"/>
      </w:tblCellMar>
    </w:tblPr>
  </w:style>
  <w:style w:type="table" w:customStyle="1" w:styleId="TableStyle72">
    <w:name w:val="TableStyle72"/>
    <w:pPr>
      <w:spacing w:after="0" w:line="240" w:lineRule="auto"/>
    </w:pPr>
    <w:rPr>
      <w:rFonts w:ascii="Arial" w:hAnsi="Arial"/>
      <w:sz w:val="16"/>
    </w:rPr>
    <w:tblPr>
      <w:tblCellMar>
        <w:top w:w="0" w:type="dxa"/>
        <w:left w:w="0" w:type="dxa"/>
        <w:bottom w:w="0" w:type="dxa"/>
        <w:right w:w="0" w:type="dxa"/>
      </w:tblCellMar>
    </w:tblPr>
  </w:style>
  <w:style w:type="table" w:customStyle="1" w:styleId="TableStyle73">
    <w:name w:val="TableStyle73"/>
    <w:pPr>
      <w:spacing w:after="0" w:line="240" w:lineRule="auto"/>
    </w:pPr>
    <w:rPr>
      <w:rFonts w:ascii="Arial" w:hAnsi="Arial"/>
      <w:sz w:val="16"/>
    </w:rPr>
    <w:tblPr>
      <w:tblCellMar>
        <w:top w:w="0" w:type="dxa"/>
        <w:left w:w="0" w:type="dxa"/>
        <w:bottom w:w="0" w:type="dxa"/>
        <w:right w:w="0" w:type="dxa"/>
      </w:tblCellMar>
    </w:tblPr>
  </w:style>
  <w:style w:type="table" w:customStyle="1" w:styleId="TableStyle74">
    <w:name w:val="TableStyle74"/>
    <w:pPr>
      <w:spacing w:after="0" w:line="240" w:lineRule="auto"/>
    </w:pPr>
    <w:rPr>
      <w:rFonts w:ascii="Arial" w:hAnsi="Arial"/>
      <w:sz w:val="16"/>
    </w:rPr>
    <w:tblPr>
      <w:tblCellMar>
        <w:top w:w="0" w:type="dxa"/>
        <w:left w:w="0" w:type="dxa"/>
        <w:bottom w:w="0" w:type="dxa"/>
        <w:right w:w="0" w:type="dxa"/>
      </w:tblCellMar>
    </w:tblPr>
  </w:style>
  <w:style w:type="table" w:customStyle="1" w:styleId="TableStyle75">
    <w:name w:val="TableStyle75"/>
    <w:pPr>
      <w:spacing w:after="0" w:line="240" w:lineRule="auto"/>
    </w:pPr>
    <w:rPr>
      <w:rFonts w:ascii="Arial" w:hAnsi="Arial"/>
      <w:sz w:val="16"/>
    </w:rPr>
    <w:tblPr>
      <w:tblCellMar>
        <w:top w:w="0" w:type="dxa"/>
        <w:left w:w="0" w:type="dxa"/>
        <w:bottom w:w="0" w:type="dxa"/>
        <w:right w:w="0" w:type="dxa"/>
      </w:tblCellMar>
    </w:tblPr>
  </w:style>
  <w:style w:type="table" w:customStyle="1" w:styleId="TableStyle76">
    <w:name w:val="TableStyle76"/>
    <w:pPr>
      <w:spacing w:after="0" w:line="240" w:lineRule="auto"/>
    </w:pPr>
    <w:rPr>
      <w:rFonts w:ascii="Arial" w:hAnsi="Arial"/>
      <w:sz w:val="16"/>
    </w:rPr>
    <w:tblPr>
      <w:tblCellMar>
        <w:top w:w="0" w:type="dxa"/>
        <w:left w:w="0" w:type="dxa"/>
        <w:bottom w:w="0" w:type="dxa"/>
        <w:right w:w="0" w:type="dxa"/>
      </w:tblCellMar>
    </w:tblPr>
  </w:style>
  <w:style w:type="table" w:customStyle="1" w:styleId="TableStyle77">
    <w:name w:val="TableStyle77"/>
    <w:pPr>
      <w:spacing w:after="0" w:line="240" w:lineRule="auto"/>
    </w:pPr>
    <w:rPr>
      <w:rFonts w:ascii="Arial" w:hAnsi="Arial"/>
      <w:sz w:val="16"/>
    </w:rPr>
    <w:tblPr>
      <w:tblCellMar>
        <w:top w:w="0" w:type="dxa"/>
        <w:left w:w="0" w:type="dxa"/>
        <w:bottom w:w="0" w:type="dxa"/>
        <w:right w:w="0" w:type="dxa"/>
      </w:tblCellMar>
    </w:tblPr>
  </w:style>
  <w:style w:type="table" w:customStyle="1" w:styleId="TableStyle78">
    <w:name w:val="TableStyle78"/>
    <w:pPr>
      <w:spacing w:after="0" w:line="240" w:lineRule="auto"/>
    </w:pPr>
    <w:rPr>
      <w:rFonts w:ascii="Arial" w:hAnsi="Arial"/>
      <w:sz w:val="16"/>
    </w:rPr>
    <w:tblPr>
      <w:tblCellMar>
        <w:top w:w="0" w:type="dxa"/>
        <w:left w:w="0" w:type="dxa"/>
        <w:bottom w:w="0" w:type="dxa"/>
        <w:right w:w="0" w:type="dxa"/>
      </w:tblCellMar>
    </w:tblPr>
  </w:style>
  <w:style w:type="table" w:customStyle="1" w:styleId="TableStyle79">
    <w:name w:val="TableStyle79"/>
    <w:pPr>
      <w:spacing w:after="0" w:line="240" w:lineRule="auto"/>
    </w:pPr>
    <w:rPr>
      <w:rFonts w:ascii="Arial" w:hAnsi="Arial"/>
      <w:sz w:val="16"/>
    </w:rPr>
    <w:tblPr>
      <w:tblCellMar>
        <w:top w:w="0" w:type="dxa"/>
        <w:left w:w="0" w:type="dxa"/>
        <w:bottom w:w="0" w:type="dxa"/>
        <w:right w:w="0" w:type="dxa"/>
      </w:tblCellMar>
    </w:tblPr>
  </w:style>
  <w:style w:type="table" w:customStyle="1" w:styleId="TableStyle80">
    <w:name w:val="TableStyle80"/>
    <w:pPr>
      <w:spacing w:after="0" w:line="240" w:lineRule="auto"/>
    </w:pPr>
    <w:rPr>
      <w:rFonts w:ascii="Arial" w:hAnsi="Arial"/>
      <w:sz w:val="16"/>
    </w:rPr>
    <w:tblPr>
      <w:tblCellMar>
        <w:top w:w="0" w:type="dxa"/>
        <w:left w:w="0" w:type="dxa"/>
        <w:bottom w:w="0" w:type="dxa"/>
        <w:right w:w="0" w:type="dxa"/>
      </w:tblCellMar>
    </w:tblPr>
  </w:style>
  <w:style w:type="table" w:customStyle="1" w:styleId="TableStyle81">
    <w:name w:val="TableStyle81"/>
    <w:pPr>
      <w:spacing w:after="0" w:line="240" w:lineRule="auto"/>
    </w:pPr>
    <w:rPr>
      <w:rFonts w:ascii="Arial" w:hAnsi="Arial"/>
      <w:sz w:val="16"/>
    </w:rPr>
    <w:tblPr>
      <w:tblCellMar>
        <w:top w:w="0" w:type="dxa"/>
        <w:left w:w="0" w:type="dxa"/>
        <w:bottom w:w="0" w:type="dxa"/>
        <w:right w:w="0" w:type="dxa"/>
      </w:tblCellMar>
    </w:tblPr>
  </w:style>
  <w:style w:type="table" w:customStyle="1" w:styleId="TableStyle82">
    <w:name w:val="TableStyle82"/>
    <w:pPr>
      <w:spacing w:after="0" w:line="240" w:lineRule="auto"/>
    </w:pPr>
    <w:rPr>
      <w:rFonts w:ascii="Arial" w:hAnsi="Arial"/>
      <w:sz w:val="16"/>
    </w:rPr>
    <w:tblPr>
      <w:tblCellMar>
        <w:top w:w="0" w:type="dxa"/>
        <w:left w:w="0" w:type="dxa"/>
        <w:bottom w:w="0" w:type="dxa"/>
        <w:right w:w="0" w:type="dxa"/>
      </w:tblCellMar>
    </w:tblPr>
  </w:style>
  <w:style w:type="table" w:customStyle="1" w:styleId="TableStyle83">
    <w:name w:val="TableStyle83"/>
    <w:pPr>
      <w:spacing w:after="0" w:line="240" w:lineRule="auto"/>
    </w:pPr>
    <w:rPr>
      <w:rFonts w:ascii="Arial" w:hAnsi="Arial"/>
      <w:sz w:val="16"/>
    </w:rPr>
    <w:tblPr>
      <w:tblCellMar>
        <w:top w:w="0" w:type="dxa"/>
        <w:left w:w="0" w:type="dxa"/>
        <w:bottom w:w="0" w:type="dxa"/>
        <w:right w:w="0" w:type="dxa"/>
      </w:tblCellMar>
    </w:tblPr>
  </w:style>
  <w:style w:type="table" w:customStyle="1" w:styleId="TableStyle84">
    <w:name w:val="TableStyle84"/>
    <w:pPr>
      <w:spacing w:after="0" w:line="240" w:lineRule="auto"/>
    </w:pPr>
    <w:rPr>
      <w:rFonts w:ascii="Arial" w:hAnsi="Arial"/>
      <w:sz w:val="16"/>
    </w:rPr>
    <w:tblPr>
      <w:tblCellMar>
        <w:top w:w="0" w:type="dxa"/>
        <w:left w:w="0" w:type="dxa"/>
        <w:bottom w:w="0" w:type="dxa"/>
        <w:right w:w="0" w:type="dxa"/>
      </w:tblCellMar>
    </w:tblPr>
  </w:style>
  <w:style w:type="table" w:customStyle="1" w:styleId="TableStyle85">
    <w:name w:val="TableStyle85"/>
    <w:pPr>
      <w:spacing w:after="0" w:line="240" w:lineRule="auto"/>
    </w:pPr>
    <w:rPr>
      <w:rFonts w:ascii="Arial" w:hAnsi="Arial"/>
      <w:sz w:val="16"/>
    </w:rPr>
    <w:tblPr>
      <w:tblCellMar>
        <w:top w:w="0" w:type="dxa"/>
        <w:left w:w="0" w:type="dxa"/>
        <w:bottom w:w="0" w:type="dxa"/>
        <w:right w:w="0" w:type="dxa"/>
      </w:tblCellMar>
    </w:tblPr>
  </w:style>
  <w:style w:type="table" w:customStyle="1" w:styleId="TableStyle86">
    <w:name w:val="TableStyle86"/>
    <w:pPr>
      <w:spacing w:after="0" w:line="240" w:lineRule="auto"/>
    </w:pPr>
    <w:rPr>
      <w:rFonts w:ascii="Arial" w:hAnsi="Arial"/>
      <w:sz w:val="16"/>
    </w:rPr>
    <w:tblPr>
      <w:tblCellMar>
        <w:top w:w="0" w:type="dxa"/>
        <w:left w:w="0" w:type="dxa"/>
        <w:bottom w:w="0" w:type="dxa"/>
        <w:right w:w="0" w:type="dxa"/>
      </w:tblCellMar>
    </w:tblPr>
  </w:style>
  <w:style w:type="table" w:customStyle="1" w:styleId="TableStyle87">
    <w:name w:val="TableStyle87"/>
    <w:pPr>
      <w:spacing w:after="0" w:line="240" w:lineRule="auto"/>
    </w:pPr>
    <w:rPr>
      <w:rFonts w:ascii="Arial" w:hAnsi="Arial"/>
      <w:sz w:val="16"/>
    </w:rPr>
    <w:tblPr>
      <w:tblCellMar>
        <w:top w:w="0" w:type="dxa"/>
        <w:left w:w="0" w:type="dxa"/>
        <w:bottom w:w="0" w:type="dxa"/>
        <w:right w:w="0" w:type="dxa"/>
      </w:tblCellMar>
    </w:tblPr>
  </w:style>
  <w:style w:type="table" w:customStyle="1" w:styleId="TableStyle88">
    <w:name w:val="TableStyle88"/>
    <w:pPr>
      <w:spacing w:after="0" w:line="240" w:lineRule="auto"/>
    </w:pPr>
    <w:rPr>
      <w:rFonts w:ascii="Arial" w:hAnsi="Arial"/>
      <w:sz w:val="16"/>
    </w:rPr>
    <w:tblPr>
      <w:tblCellMar>
        <w:top w:w="0" w:type="dxa"/>
        <w:left w:w="0" w:type="dxa"/>
        <w:bottom w:w="0" w:type="dxa"/>
        <w:right w:w="0" w:type="dxa"/>
      </w:tblCellMar>
    </w:tblPr>
  </w:style>
  <w:style w:type="table" w:customStyle="1" w:styleId="TableStyle89">
    <w:name w:val="TableStyle89"/>
    <w:pPr>
      <w:spacing w:after="0" w:line="240" w:lineRule="auto"/>
    </w:pPr>
    <w:rPr>
      <w:rFonts w:ascii="Arial" w:hAnsi="Arial"/>
      <w:sz w:val="16"/>
    </w:rPr>
    <w:tblPr>
      <w:tblCellMar>
        <w:top w:w="0" w:type="dxa"/>
        <w:left w:w="0" w:type="dxa"/>
        <w:bottom w:w="0" w:type="dxa"/>
        <w:right w:w="0" w:type="dxa"/>
      </w:tblCellMar>
    </w:tblPr>
  </w:style>
  <w:style w:type="table" w:customStyle="1" w:styleId="TableStyle90">
    <w:name w:val="TableStyle90"/>
    <w:pPr>
      <w:spacing w:after="0" w:line="240" w:lineRule="auto"/>
    </w:pPr>
    <w:rPr>
      <w:rFonts w:ascii="Arial" w:hAnsi="Arial"/>
      <w:sz w:val="16"/>
    </w:rPr>
    <w:tblPr>
      <w:tblCellMar>
        <w:top w:w="0" w:type="dxa"/>
        <w:left w:w="0" w:type="dxa"/>
        <w:bottom w:w="0" w:type="dxa"/>
        <w:right w:w="0" w:type="dxa"/>
      </w:tblCellMar>
    </w:tblPr>
  </w:style>
  <w:style w:type="table" w:customStyle="1" w:styleId="TableStyle91">
    <w:name w:val="TableStyle91"/>
    <w:pPr>
      <w:spacing w:after="0" w:line="240" w:lineRule="auto"/>
    </w:pPr>
    <w:rPr>
      <w:rFonts w:ascii="Arial" w:hAnsi="Arial"/>
      <w:sz w:val="16"/>
    </w:rPr>
    <w:tblPr>
      <w:tblCellMar>
        <w:top w:w="0" w:type="dxa"/>
        <w:left w:w="0" w:type="dxa"/>
        <w:bottom w:w="0" w:type="dxa"/>
        <w:right w:w="0" w:type="dxa"/>
      </w:tblCellMar>
    </w:tblPr>
  </w:style>
  <w:style w:type="paragraph" w:styleId="a3">
    <w:name w:val="header"/>
    <w:basedOn w:val="a"/>
    <w:link w:val="a4"/>
    <w:uiPriority w:val="99"/>
    <w:unhideWhenUsed/>
    <w:rsid w:val="005009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9DF"/>
  </w:style>
  <w:style w:type="paragraph" w:styleId="a5">
    <w:name w:val="footer"/>
    <w:basedOn w:val="a"/>
    <w:link w:val="a6"/>
    <w:uiPriority w:val="99"/>
    <w:unhideWhenUsed/>
    <w:rsid w:val="005009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9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F1742-7C3C-4A35-8546-B19DE2CD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35</Pages>
  <Words>11386</Words>
  <Characters>64902</Characters>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dcterms:created xsi:type="dcterms:W3CDTF">2026-07-29T11:09:00Z</dcterms:created>
  <dcterms:modified xsi:type="dcterms:W3CDTF">2026-07-30T13:19:00Z</dcterms:modified>
</cp:coreProperties>
</file>